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5C3CA" w14:textId="6A68DD50" w:rsidR="0072697D" w:rsidRDefault="00681870" w:rsidP="000B0810">
      <w:pPr>
        <w:pStyle w:val="Title"/>
      </w:pPr>
      <w:bookmarkStart w:id="0" w:name="_Toc146029781"/>
      <w:r>
        <w:t xml:space="preserve">Emissions </w:t>
      </w:r>
      <w:r w:rsidR="00813401">
        <w:t>A</w:t>
      </w:r>
      <w:r>
        <w:t xml:space="preserve">ccounting </w:t>
      </w:r>
      <w:r w:rsidR="00813401">
        <w:t>A</w:t>
      </w:r>
      <w:r>
        <w:t>pproach</w:t>
      </w:r>
      <w:bookmarkEnd w:id="0"/>
      <w:r w:rsidR="00670A56" w:rsidRPr="001134F8">
        <w:t xml:space="preserve"> </w:t>
      </w:r>
    </w:p>
    <w:p w14:paraId="5A2DA357" w14:textId="3A33BDCF" w:rsidR="00107D3D" w:rsidRDefault="00813401" w:rsidP="00726438">
      <w:pPr>
        <w:pStyle w:val="Subtitle"/>
      </w:pPr>
      <w:r>
        <w:t xml:space="preserve">Attachment to the </w:t>
      </w:r>
      <w:r w:rsidR="00506F79">
        <w:t>S</w:t>
      </w:r>
      <w:r w:rsidR="00107D3D">
        <w:t xml:space="preserve">cheme </w:t>
      </w:r>
      <w:r w:rsidR="00506F79">
        <w:t>D</w:t>
      </w:r>
      <w:r w:rsidR="00107D3D">
        <w:t>esign paper</w:t>
      </w:r>
    </w:p>
    <w:p w14:paraId="76CCA357" w14:textId="77777777" w:rsidR="0058409A" w:rsidRDefault="0058409A" w:rsidP="00D22E80">
      <w:pPr>
        <w:pStyle w:val="Authoranddate"/>
      </w:pPr>
    </w:p>
    <w:p w14:paraId="0F7BB756" w14:textId="26401796" w:rsidR="003733E1" w:rsidRDefault="003D71A9" w:rsidP="00D22E80">
      <w:pPr>
        <w:pStyle w:val="Authoranddate"/>
      </w:pPr>
      <w:r>
        <w:t>20</w:t>
      </w:r>
      <w:r w:rsidR="00CA5F71">
        <w:t xml:space="preserve"> </w:t>
      </w:r>
      <w:r w:rsidR="005843C2">
        <w:t>September</w:t>
      </w:r>
      <w:r w:rsidR="003733E1">
        <w:t xml:space="preserve"> </w:t>
      </w:r>
      <w:r w:rsidR="00D22E80">
        <w:t>2023</w:t>
      </w:r>
    </w:p>
    <w:p w14:paraId="19E9AFCF" w14:textId="21BA9F3D" w:rsidR="00670A56" w:rsidRPr="008976F6" w:rsidRDefault="008F43E2" w:rsidP="00D22E80">
      <w:pPr>
        <w:pStyle w:val="Authoranddate"/>
      </w:pPr>
      <w:r>
        <w:t xml:space="preserve"> </w:t>
      </w:r>
      <w:r w:rsidR="00336747">
        <w:t xml:space="preserve">                                                                                                                                                                                                                                                                                                                                                                                                                                                                                                                                                                                                                                                                                                                                                                                                                                                                                                                                                                                                                                                                                                                                                                                                                                                                                                                                                                           </w:t>
      </w:r>
      <w:r w:rsidR="00670A56">
        <w:br w:type="page"/>
      </w:r>
    </w:p>
    <w:p w14:paraId="3BE61BCB" w14:textId="77777777" w:rsidR="00B83FD2" w:rsidRDefault="00B83FD2" w:rsidP="00B83FD2">
      <w:pPr>
        <w:pStyle w:val="Heading2"/>
        <w:numPr>
          <w:ilvl w:val="0"/>
          <w:numId w:val="0"/>
        </w:numPr>
        <w:ind w:left="576" w:hanging="576"/>
        <w:rPr>
          <w:rFonts w:eastAsia="Times New Roman" w:cs="Times New Roman"/>
          <w:color w:val="BB4E06"/>
        </w:rPr>
      </w:pPr>
      <w:bookmarkStart w:id="1" w:name="_Toc107332553"/>
      <w:bookmarkStart w:id="2" w:name="_Toc19289802"/>
      <w:bookmarkStart w:id="3" w:name="_Toc19023739"/>
      <w:bookmarkStart w:id="4" w:name="_Toc118195038"/>
      <w:bookmarkStart w:id="5" w:name="_Toc118140974"/>
      <w:bookmarkStart w:id="6" w:name="_Toc118140208"/>
      <w:bookmarkStart w:id="7" w:name="_Toc118218122"/>
      <w:bookmarkStart w:id="8" w:name="_Toc118213440"/>
      <w:bookmarkStart w:id="9" w:name="_Toc118216312"/>
      <w:bookmarkStart w:id="10" w:name="_Toc118215783"/>
      <w:bookmarkStart w:id="11" w:name="_Toc117606275"/>
      <w:bookmarkStart w:id="12" w:name="_Toc117089149"/>
      <w:bookmarkStart w:id="13" w:name="_Toc116994838"/>
      <w:bookmarkStart w:id="14" w:name="_Toc116992526"/>
      <w:bookmarkStart w:id="15" w:name="_Toc116662784"/>
      <w:bookmarkStart w:id="16" w:name="_Toc116660778"/>
      <w:bookmarkStart w:id="17" w:name="_Toc116660117"/>
      <w:bookmarkStart w:id="18" w:name="_Toc116298241"/>
      <w:bookmarkStart w:id="19" w:name="_Toc116297028"/>
      <w:bookmarkStart w:id="20" w:name="_Toc116296995"/>
      <w:bookmarkStart w:id="21" w:name="_Toc116053349"/>
      <w:bookmarkStart w:id="22" w:name="_Toc116049871"/>
      <w:bookmarkStart w:id="23" w:name="_Toc115965844"/>
      <w:bookmarkStart w:id="24" w:name="_Toc121317903"/>
      <w:bookmarkStart w:id="25" w:name="_Toc137196286"/>
      <w:bookmarkStart w:id="26" w:name="_Ref129778208"/>
      <w:bookmarkStart w:id="27" w:name="_Toc146029782"/>
      <w:r>
        <w:t>Copyright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7"/>
    </w:p>
    <w:p w14:paraId="05C512CA" w14:textId="77777777" w:rsidR="00B83FD2" w:rsidRDefault="00B83FD2" w:rsidP="00B83FD2">
      <w:pPr>
        <w:rPr>
          <w:rStyle w:val="Strong"/>
        </w:rPr>
      </w:pPr>
      <w:r>
        <w:rPr>
          <w:rStyle w:val="Strong"/>
        </w:rPr>
        <w:t>© Commonwealth of Australia 2023</w:t>
      </w:r>
    </w:p>
    <w:p w14:paraId="746E9344" w14:textId="77777777" w:rsidR="00B83FD2" w:rsidRDefault="00B83FD2" w:rsidP="00B83FD2">
      <w:pPr>
        <w:rPr>
          <w:rStyle w:val="Strong"/>
        </w:rPr>
      </w:pPr>
      <w:r>
        <w:rPr>
          <w:rStyle w:val="Strong"/>
        </w:rPr>
        <w:t>Ownership of intellectual property rights</w:t>
      </w:r>
    </w:p>
    <w:p w14:paraId="51148745" w14:textId="56E62FFC" w:rsidR="00B83FD2" w:rsidRDefault="00B83FD2" w:rsidP="00B83FD2">
      <w:r>
        <w:t>Unless otherwise noted, copyright (and any o</w:t>
      </w:r>
      <w:r w:rsidR="001204C6">
        <w:t>t</w:t>
      </w:r>
      <w:r>
        <w:t>her intellectual property rights, if any) in this publication is owned by the Commonwealth of Australia.</w:t>
      </w:r>
    </w:p>
    <w:p w14:paraId="1B964DBE" w14:textId="77777777" w:rsidR="00B83FD2" w:rsidRDefault="00B83FD2" w:rsidP="00B83FD2">
      <w:pPr>
        <w:rPr>
          <w:rStyle w:val="Strong"/>
        </w:rPr>
      </w:pPr>
      <w:r>
        <w:rPr>
          <w:rStyle w:val="Strong"/>
        </w:rPr>
        <w:t>Creative Commons licence</w:t>
      </w:r>
    </w:p>
    <w:p w14:paraId="7031262C" w14:textId="77777777" w:rsidR="00B83FD2" w:rsidRDefault="00B83FD2" w:rsidP="00B83FD2">
      <w:pPr>
        <w:rPr>
          <w:rStyle w:val="Strong"/>
        </w:rPr>
      </w:pPr>
      <w:r>
        <w:rPr>
          <w:b/>
          <w:noProof/>
          <w:lang w:eastAsia="en-AU"/>
        </w:rPr>
        <w:drawing>
          <wp:inline distT="0" distB="0" distL="0" distR="0" wp14:anchorId="754C58BE" wp14:editId="0CF57619">
            <wp:extent cx="1133475" cy="447675"/>
            <wp:effectExtent l="0" t="0" r="9525" b="0"/>
            <wp:docPr id="8" name="Picture 8" descr="Creative Commons CC BY logo" title="Creative Commons CC BY"/>
            <wp:cNvGraphicFramePr/>
            <a:graphic xmlns:a="http://schemas.openxmlformats.org/drawingml/2006/main">
              <a:graphicData uri="http://schemas.openxmlformats.org/drawingml/2006/picture">
                <pic:pic xmlns:pic="http://schemas.openxmlformats.org/drawingml/2006/picture">
                  <pic:nvPicPr>
                    <pic:cNvPr id="8" name="Picture 8" descr="Creative Commons CC BY logo" title="Creative Commons CC BY"/>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130300" cy="444500"/>
                    </a:xfrm>
                    <a:prstGeom prst="rect">
                      <a:avLst/>
                    </a:prstGeom>
                    <a:ln>
                      <a:noFill/>
                    </a:ln>
                    <a:extLst>
                      <a:ext uri="{53640926-AAD7-44D8-BBD7-CCE9431645EC}">
                        <a14:shadowObscured xmlns:a14="http://schemas.microsoft.com/office/drawing/2010/main"/>
                      </a:ext>
                    </a:extLst>
                  </pic:spPr>
                </pic:pic>
              </a:graphicData>
            </a:graphic>
          </wp:inline>
        </w:drawing>
      </w:r>
    </w:p>
    <w:p w14:paraId="28925002" w14:textId="77777777" w:rsidR="00B83FD2" w:rsidRDefault="00B83FD2" w:rsidP="00B83FD2">
      <w:pPr>
        <w:rPr>
          <w:rStyle w:val="Strong"/>
        </w:rPr>
      </w:pPr>
      <w:r>
        <w:rPr>
          <w:rStyle w:val="Strong"/>
        </w:rPr>
        <w:t xml:space="preserve">Attribution </w:t>
      </w:r>
    </w:p>
    <w:p w14:paraId="10143778" w14:textId="77777777" w:rsidR="00B83FD2" w:rsidRDefault="00B83FD2" w:rsidP="00B83FD2">
      <w:pPr>
        <w:rPr>
          <w:rStyle w:val="Strong"/>
        </w:rPr>
      </w:pPr>
      <w:r>
        <w:rPr>
          <w:rStyle w:val="Strong"/>
        </w:rPr>
        <w:t>CC BY</w:t>
      </w:r>
    </w:p>
    <w:p w14:paraId="72A0A8CB" w14:textId="77777777" w:rsidR="00B83FD2" w:rsidRDefault="00B83FD2" w:rsidP="00B83FD2">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1878686A" w14:textId="35B9511B" w:rsidR="00B83FD2" w:rsidRDefault="00B83FD2" w:rsidP="00B83FD2">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2" w:history="1">
        <w:r>
          <w:rPr>
            <w:rStyle w:val="Hyperlink"/>
          </w:rPr>
          <w:t>https://creativecommons.org/licenses/by/4.0/</w:t>
        </w:r>
      </w:hyperlink>
    </w:p>
    <w:p w14:paraId="5E4A56F0" w14:textId="5E1C186D" w:rsidR="00B83FD2" w:rsidRDefault="00B83FD2" w:rsidP="00B83FD2">
      <w:r>
        <w:t xml:space="preserve">The full licence terms are available from </w:t>
      </w:r>
      <w:hyperlink r:id="rId13" w:history="1">
        <w:r>
          <w:rPr>
            <w:rStyle w:val="Hyperlink"/>
          </w:rPr>
          <w:t>https://creativecommons.org/licenses/by/4.0/legalcode</w:t>
        </w:r>
      </w:hyperlink>
    </w:p>
    <w:p w14:paraId="64F62A60" w14:textId="77777777" w:rsidR="00B83FD2" w:rsidRDefault="00B83FD2" w:rsidP="00B83FD2">
      <w:r>
        <w:t xml:space="preserve">Content contained herein should be attributed as </w:t>
      </w:r>
      <w:r>
        <w:rPr>
          <w:i/>
        </w:rPr>
        <w:t>Report title, Australian Government Department of Climate Change, Energy, the Environment and Water</w:t>
      </w:r>
      <w:r>
        <w:t>.</w:t>
      </w:r>
    </w:p>
    <w:p w14:paraId="52C48203" w14:textId="77777777" w:rsidR="00B83FD2" w:rsidRDefault="00B83FD2" w:rsidP="00B83FD2">
      <w:pPr>
        <w:pStyle w:val="Heading2"/>
        <w:numPr>
          <w:ilvl w:val="0"/>
          <w:numId w:val="0"/>
        </w:numPr>
        <w:ind w:left="576" w:hanging="576"/>
      </w:pPr>
      <w:bookmarkStart w:id="28" w:name="_Toc118218123"/>
      <w:bookmarkStart w:id="29" w:name="_Toc118216313"/>
      <w:bookmarkStart w:id="30" w:name="_Toc118215784"/>
      <w:bookmarkStart w:id="31" w:name="_Toc118213441"/>
      <w:bookmarkStart w:id="32" w:name="_Toc118195039"/>
      <w:bookmarkStart w:id="33" w:name="_Toc118140975"/>
      <w:bookmarkStart w:id="34" w:name="_Toc118140209"/>
      <w:bookmarkStart w:id="35" w:name="_Toc117606276"/>
      <w:bookmarkStart w:id="36" w:name="_Toc117089150"/>
      <w:bookmarkStart w:id="37" w:name="_Toc116994839"/>
      <w:bookmarkStart w:id="38" w:name="_Toc116992527"/>
      <w:bookmarkStart w:id="39" w:name="_Toc116662785"/>
      <w:bookmarkStart w:id="40" w:name="_Toc116660779"/>
      <w:bookmarkStart w:id="41" w:name="_Toc116660118"/>
      <w:bookmarkStart w:id="42" w:name="_Toc116298242"/>
      <w:bookmarkStart w:id="43" w:name="_Toc116297029"/>
      <w:bookmarkStart w:id="44" w:name="_Toc116296996"/>
      <w:bookmarkStart w:id="45" w:name="_Toc116053350"/>
      <w:bookmarkStart w:id="46" w:name="_Toc116049872"/>
      <w:bookmarkStart w:id="47" w:name="_Toc115965845"/>
      <w:bookmarkStart w:id="48" w:name="_Toc115449459"/>
      <w:bookmarkStart w:id="49" w:name="_Toc115356657"/>
      <w:bookmarkStart w:id="50" w:name="_Toc115348314"/>
      <w:bookmarkStart w:id="51" w:name="_Toc115345412"/>
      <w:bookmarkStart w:id="52" w:name="_Toc115343849"/>
      <w:bookmarkStart w:id="53" w:name="_Toc115274860"/>
      <w:bookmarkStart w:id="54" w:name="_Toc115266624"/>
      <w:bookmarkStart w:id="55" w:name="_Toc115172022"/>
      <w:bookmarkStart w:id="56" w:name="_Toc115171868"/>
      <w:bookmarkStart w:id="57" w:name="_Toc115101725"/>
      <w:bookmarkStart w:id="58" w:name="_Toc115100065"/>
      <w:bookmarkStart w:id="59" w:name="_Toc115097489"/>
      <w:bookmarkStart w:id="60" w:name="_Toc115093606"/>
      <w:bookmarkStart w:id="61" w:name="_Toc114494886"/>
      <w:bookmarkStart w:id="62" w:name="_Toc114494891"/>
      <w:bookmarkStart w:id="63" w:name="_Toc114487180"/>
      <w:bookmarkStart w:id="64" w:name="_Toc114483864"/>
      <w:bookmarkStart w:id="65" w:name="_Toc114232882"/>
      <w:bookmarkStart w:id="66" w:name="_Toc68105050"/>
      <w:bookmarkStart w:id="67" w:name="_Toc68088364"/>
      <w:bookmarkStart w:id="68" w:name="_Toc68083511"/>
      <w:bookmarkStart w:id="69" w:name="_Toc68083116"/>
      <w:bookmarkStart w:id="70" w:name="_Toc68000185"/>
      <w:bookmarkStart w:id="71" w:name="_Toc67998745"/>
      <w:bookmarkStart w:id="72" w:name="_Toc67562602"/>
      <w:bookmarkStart w:id="73" w:name="_Toc67553858"/>
      <w:bookmarkStart w:id="74" w:name="_Toc67330169"/>
      <w:bookmarkStart w:id="75" w:name="_Toc67329346"/>
      <w:bookmarkStart w:id="76" w:name="_Toc67329098"/>
      <w:bookmarkStart w:id="77" w:name="_Toc67328487"/>
      <w:bookmarkStart w:id="78" w:name="_Toc66865480"/>
      <w:bookmarkStart w:id="79" w:name="_Toc66704766"/>
      <w:bookmarkStart w:id="80" w:name="_Toc65514350"/>
      <w:bookmarkStart w:id="81" w:name="_Toc65168361"/>
      <w:bookmarkStart w:id="82" w:name="_Toc65168111"/>
      <w:bookmarkStart w:id="83" w:name="_Toc64302359"/>
      <w:bookmarkStart w:id="84" w:name="_Toc64299948"/>
      <w:bookmarkStart w:id="85" w:name="_Toc62043714"/>
      <w:bookmarkStart w:id="86" w:name="_Toc57304641"/>
      <w:bookmarkStart w:id="87" w:name="_Toc57204970"/>
      <w:bookmarkStart w:id="88" w:name="_Toc57199103"/>
      <w:bookmarkStart w:id="89" w:name="_Toc57123900"/>
      <w:bookmarkStart w:id="90" w:name="_Toc19289803"/>
      <w:bookmarkStart w:id="91" w:name="_Toc19023740"/>
      <w:bookmarkStart w:id="92" w:name="_Toc121317904"/>
      <w:bookmarkStart w:id="93" w:name="_Toc137196287"/>
      <w:bookmarkStart w:id="94" w:name="_Toc146029783"/>
      <w:r>
        <w:t>Disclaimer</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7BC7E76" w14:textId="77777777" w:rsidR="00B83FD2" w:rsidRDefault="00B83FD2" w:rsidP="00B83FD2">
      <w:r>
        <w:t>The Australian Government as represented by the Department of Climate Change, Energy, the Environment and Water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253176A1" w14:textId="77777777" w:rsidR="00B83FD2" w:rsidRDefault="00B83FD2">
      <w:r>
        <w:br w:type="page"/>
      </w:r>
    </w:p>
    <w:sdt>
      <w:sdtPr>
        <w:rPr>
          <w:rFonts w:asciiTheme="minorHAnsi" w:eastAsiaTheme="minorHAnsi" w:hAnsiTheme="minorHAnsi" w:cstheme="minorBidi"/>
          <w:color w:val="auto"/>
          <w:sz w:val="22"/>
          <w:szCs w:val="22"/>
          <w:lang w:val="en-AU"/>
        </w:rPr>
        <w:id w:val="2090813253"/>
        <w:docPartObj>
          <w:docPartGallery w:val="Table of Contents"/>
          <w:docPartUnique/>
        </w:docPartObj>
      </w:sdtPr>
      <w:sdtEndPr>
        <w:rPr>
          <w:b/>
          <w:bCs/>
          <w:noProof/>
        </w:rPr>
      </w:sdtEndPr>
      <w:sdtContent>
        <w:p w14:paraId="1E4FB6C7" w14:textId="30FE41DD" w:rsidR="004C5DE5" w:rsidRDefault="004C5DE5" w:rsidP="004C5DE5">
          <w:pPr>
            <w:pStyle w:val="TOCHeading"/>
            <w:numPr>
              <w:ilvl w:val="0"/>
              <w:numId w:val="0"/>
            </w:numPr>
          </w:pPr>
          <w:r>
            <w:t>Contents</w:t>
          </w:r>
        </w:p>
        <w:p w14:paraId="7768A94D" w14:textId="2FC321C5" w:rsidR="00785FEC" w:rsidRDefault="004C5DE5">
          <w:pPr>
            <w:pStyle w:val="TOC1"/>
            <w:rPr>
              <w:rFonts w:eastAsiaTheme="minorEastAsia"/>
              <w:noProof/>
              <w:kern w:val="2"/>
              <w:lang w:eastAsia="en-AU"/>
              <w14:ligatures w14:val="standardContextual"/>
            </w:rPr>
          </w:pPr>
          <w:r>
            <w:fldChar w:fldCharType="begin"/>
          </w:r>
          <w:r>
            <w:instrText xml:space="preserve"> TOC \o "1-2" \h \z \u </w:instrText>
          </w:r>
          <w:r>
            <w:fldChar w:fldCharType="separate"/>
          </w:r>
          <w:hyperlink w:anchor="_Toc146029781" w:history="1">
            <w:r w:rsidR="00785FEC" w:rsidRPr="00173F81">
              <w:rPr>
                <w:rStyle w:val="Hyperlink"/>
                <w:noProof/>
              </w:rPr>
              <w:t>Emissions Accounting Approach</w:t>
            </w:r>
            <w:r w:rsidR="00785FEC">
              <w:rPr>
                <w:noProof/>
                <w:webHidden/>
              </w:rPr>
              <w:tab/>
            </w:r>
            <w:r w:rsidR="00785FEC">
              <w:rPr>
                <w:noProof/>
                <w:webHidden/>
              </w:rPr>
              <w:fldChar w:fldCharType="begin"/>
            </w:r>
            <w:r w:rsidR="00785FEC">
              <w:rPr>
                <w:noProof/>
                <w:webHidden/>
              </w:rPr>
              <w:instrText xml:space="preserve"> PAGEREF _Toc146029781 \h </w:instrText>
            </w:r>
            <w:r w:rsidR="00785FEC">
              <w:rPr>
                <w:noProof/>
                <w:webHidden/>
              </w:rPr>
            </w:r>
            <w:r w:rsidR="00785FEC">
              <w:rPr>
                <w:noProof/>
                <w:webHidden/>
              </w:rPr>
              <w:fldChar w:fldCharType="separate"/>
            </w:r>
            <w:r w:rsidR="00785FEC">
              <w:rPr>
                <w:noProof/>
                <w:webHidden/>
              </w:rPr>
              <w:t>1</w:t>
            </w:r>
            <w:r w:rsidR="00785FEC">
              <w:rPr>
                <w:noProof/>
                <w:webHidden/>
              </w:rPr>
              <w:fldChar w:fldCharType="end"/>
            </w:r>
          </w:hyperlink>
        </w:p>
        <w:p w14:paraId="0533F180" w14:textId="1F8E1A69" w:rsidR="00785FEC" w:rsidRDefault="00B45A65">
          <w:pPr>
            <w:pStyle w:val="TOC2"/>
            <w:rPr>
              <w:rFonts w:eastAsiaTheme="minorEastAsia"/>
              <w:noProof/>
              <w:kern w:val="2"/>
              <w:lang w:eastAsia="en-AU"/>
              <w14:ligatures w14:val="standardContextual"/>
            </w:rPr>
          </w:pPr>
          <w:hyperlink w:anchor="_Toc146029782" w:history="1">
            <w:r w:rsidR="00785FEC" w:rsidRPr="00173F81">
              <w:rPr>
                <w:rStyle w:val="Hyperlink"/>
                <w:noProof/>
              </w:rPr>
              <w:t>Copyright</w:t>
            </w:r>
            <w:r w:rsidR="00785FEC">
              <w:rPr>
                <w:noProof/>
                <w:webHidden/>
              </w:rPr>
              <w:tab/>
            </w:r>
            <w:r>
              <w:rPr>
                <w:noProof/>
                <w:webHidden/>
              </w:rPr>
              <w:tab/>
            </w:r>
            <w:r w:rsidR="00785FEC">
              <w:rPr>
                <w:noProof/>
                <w:webHidden/>
              </w:rPr>
              <w:fldChar w:fldCharType="begin"/>
            </w:r>
            <w:r w:rsidR="00785FEC">
              <w:rPr>
                <w:noProof/>
                <w:webHidden/>
              </w:rPr>
              <w:instrText xml:space="preserve"> PAGEREF _Toc146029782 \h </w:instrText>
            </w:r>
            <w:r w:rsidR="00785FEC">
              <w:rPr>
                <w:noProof/>
                <w:webHidden/>
              </w:rPr>
            </w:r>
            <w:r w:rsidR="00785FEC">
              <w:rPr>
                <w:noProof/>
                <w:webHidden/>
              </w:rPr>
              <w:fldChar w:fldCharType="separate"/>
            </w:r>
            <w:r w:rsidR="00785FEC">
              <w:rPr>
                <w:noProof/>
                <w:webHidden/>
              </w:rPr>
              <w:t>2</w:t>
            </w:r>
            <w:r w:rsidR="00785FEC">
              <w:rPr>
                <w:noProof/>
                <w:webHidden/>
              </w:rPr>
              <w:fldChar w:fldCharType="end"/>
            </w:r>
          </w:hyperlink>
        </w:p>
        <w:p w14:paraId="34C47F29" w14:textId="29980091" w:rsidR="00785FEC" w:rsidRDefault="00B45A65">
          <w:pPr>
            <w:pStyle w:val="TOC2"/>
            <w:rPr>
              <w:rFonts w:eastAsiaTheme="minorEastAsia"/>
              <w:noProof/>
              <w:kern w:val="2"/>
              <w:lang w:eastAsia="en-AU"/>
              <w14:ligatures w14:val="standardContextual"/>
            </w:rPr>
          </w:pPr>
          <w:hyperlink w:anchor="_Toc146029783" w:history="1">
            <w:r w:rsidR="00785FEC" w:rsidRPr="00173F81">
              <w:rPr>
                <w:rStyle w:val="Hyperlink"/>
                <w:noProof/>
              </w:rPr>
              <w:t>Disclaimer</w:t>
            </w:r>
            <w:r w:rsidR="00785FEC">
              <w:rPr>
                <w:noProof/>
                <w:webHidden/>
              </w:rPr>
              <w:tab/>
            </w:r>
            <w:r>
              <w:rPr>
                <w:noProof/>
                <w:webHidden/>
              </w:rPr>
              <w:tab/>
            </w:r>
            <w:r w:rsidR="00785FEC">
              <w:rPr>
                <w:noProof/>
                <w:webHidden/>
              </w:rPr>
              <w:fldChar w:fldCharType="begin"/>
            </w:r>
            <w:r w:rsidR="00785FEC">
              <w:rPr>
                <w:noProof/>
                <w:webHidden/>
              </w:rPr>
              <w:instrText xml:space="preserve"> PAGEREF _Toc146029783 \h </w:instrText>
            </w:r>
            <w:r w:rsidR="00785FEC">
              <w:rPr>
                <w:noProof/>
                <w:webHidden/>
              </w:rPr>
            </w:r>
            <w:r w:rsidR="00785FEC">
              <w:rPr>
                <w:noProof/>
                <w:webHidden/>
              </w:rPr>
              <w:fldChar w:fldCharType="separate"/>
            </w:r>
            <w:r w:rsidR="00785FEC">
              <w:rPr>
                <w:noProof/>
                <w:webHidden/>
              </w:rPr>
              <w:t>2</w:t>
            </w:r>
            <w:r w:rsidR="00785FEC">
              <w:rPr>
                <w:noProof/>
                <w:webHidden/>
              </w:rPr>
              <w:fldChar w:fldCharType="end"/>
            </w:r>
          </w:hyperlink>
        </w:p>
        <w:p w14:paraId="714F228E" w14:textId="51BD9D77" w:rsidR="00785FEC" w:rsidRDefault="00B45A65">
          <w:pPr>
            <w:pStyle w:val="TOC1"/>
            <w:rPr>
              <w:rFonts w:eastAsiaTheme="minorEastAsia"/>
              <w:noProof/>
              <w:kern w:val="2"/>
              <w:lang w:eastAsia="en-AU"/>
              <w14:ligatures w14:val="standardContextual"/>
            </w:rPr>
          </w:pPr>
          <w:hyperlink w:anchor="_Toc146029784" w:history="1">
            <w:r w:rsidR="00785FEC" w:rsidRPr="00173F81">
              <w:rPr>
                <w:rStyle w:val="Hyperlink"/>
                <w:noProof/>
              </w:rPr>
              <w:t>Executive summary</w:t>
            </w:r>
            <w:r w:rsidR="00785FEC">
              <w:rPr>
                <w:noProof/>
                <w:webHidden/>
              </w:rPr>
              <w:tab/>
            </w:r>
            <w:r w:rsidR="00785FEC">
              <w:rPr>
                <w:noProof/>
                <w:webHidden/>
              </w:rPr>
              <w:fldChar w:fldCharType="begin"/>
            </w:r>
            <w:r w:rsidR="00785FEC">
              <w:rPr>
                <w:noProof/>
                <w:webHidden/>
              </w:rPr>
              <w:instrText xml:space="preserve"> PAGEREF _Toc146029784 \h </w:instrText>
            </w:r>
            <w:r w:rsidR="00785FEC">
              <w:rPr>
                <w:noProof/>
                <w:webHidden/>
              </w:rPr>
            </w:r>
            <w:r w:rsidR="00785FEC">
              <w:rPr>
                <w:noProof/>
                <w:webHidden/>
              </w:rPr>
              <w:fldChar w:fldCharType="separate"/>
            </w:r>
            <w:r w:rsidR="00785FEC">
              <w:rPr>
                <w:noProof/>
                <w:webHidden/>
              </w:rPr>
              <w:t>4</w:t>
            </w:r>
            <w:r w:rsidR="00785FEC">
              <w:rPr>
                <w:noProof/>
                <w:webHidden/>
              </w:rPr>
              <w:fldChar w:fldCharType="end"/>
            </w:r>
          </w:hyperlink>
        </w:p>
        <w:p w14:paraId="03ED998D" w14:textId="0A183453" w:rsidR="00785FEC" w:rsidRDefault="00B45A65">
          <w:pPr>
            <w:pStyle w:val="TOC1"/>
            <w:rPr>
              <w:rFonts w:eastAsiaTheme="minorEastAsia"/>
              <w:noProof/>
              <w:kern w:val="2"/>
              <w:lang w:eastAsia="en-AU"/>
              <w14:ligatures w14:val="standardContextual"/>
            </w:rPr>
          </w:pPr>
          <w:hyperlink w:anchor="_Toc146029785" w:history="1">
            <w:r w:rsidR="00785FEC" w:rsidRPr="00173F81">
              <w:rPr>
                <w:rStyle w:val="Hyperlink"/>
                <w:noProof/>
              </w:rPr>
              <w:t>Part 1.</w:t>
            </w:r>
            <w:r w:rsidR="00785FEC">
              <w:rPr>
                <w:rFonts w:eastAsiaTheme="minorEastAsia"/>
                <w:noProof/>
                <w:kern w:val="2"/>
                <w:lang w:eastAsia="en-AU"/>
                <w14:ligatures w14:val="standardContextual"/>
              </w:rPr>
              <w:tab/>
            </w:r>
            <w:r w:rsidR="00785FEC" w:rsidRPr="00173F81">
              <w:rPr>
                <w:rStyle w:val="Hyperlink"/>
                <w:noProof/>
              </w:rPr>
              <w:t>Emissions accounting scope</w:t>
            </w:r>
            <w:r w:rsidR="00785FEC">
              <w:rPr>
                <w:noProof/>
                <w:webHidden/>
              </w:rPr>
              <w:tab/>
            </w:r>
            <w:r w:rsidR="00785FEC">
              <w:rPr>
                <w:noProof/>
                <w:webHidden/>
              </w:rPr>
              <w:fldChar w:fldCharType="begin"/>
            </w:r>
            <w:r w:rsidR="00785FEC">
              <w:rPr>
                <w:noProof/>
                <w:webHidden/>
              </w:rPr>
              <w:instrText xml:space="preserve"> PAGEREF _Toc146029785 \h </w:instrText>
            </w:r>
            <w:r w:rsidR="00785FEC">
              <w:rPr>
                <w:noProof/>
                <w:webHidden/>
              </w:rPr>
            </w:r>
            <w:r w:rsidR="00785FEC">
              <w:rPr>
                <w:noProof/>
                <w:webHidden/>
              </w:rPr>
              <w:fldChar w:fldCharType="separate"/>
            </w:r>
            <w:r w:rsidR="00785FEC">
              <w:rPr>
                <w:noProof/>
                <w:webHidden/>
              </w:rPr>
              <w:t>5</w:t>
            </w:r>
            <w:r w:rsidR="00785FEC">
              <w:rPr>
                <w:noProof/>
                <w:webHidden/>
              </w:rPr>
              <w:fldChar w:fldCharType="end"/>
            </w:r>
          </w:hyperlink>
        </w:p>
        <w:p w14:paraId="4D28625B" w14:textId="5EDF2E3D" w:rsidR="00785FEC" w:rsidRDefault="00B45A65">
          <w:pPr>
            <w:pStyle w:val="TOC2"/>
            <w:rPr>
              <w:rFonts w:eastAsiaTheme="minorEastAsia"/>
              <w:noProof/>
              <w:kern w:val="2"/>
              <w:lang w:eastAsia="en-AU"/>
              <w14:ligatures w14:val="standardContextual"/>
            </w:rPr>
          </w:pPr>
          <w:hyperlink w:anchor="_Toc146029786" w:history="1">
            <w:r w:rsidR="00785FEC" w:rsidRPr="00173F81">
              <w:rPr>
                <w:rStyle w:val="Hyperlink"/>
                <w:noProof/>
              </w:rPr>
              <w:t>Section 1.1</w:t>
            </w:r>
            <w:r w:rsidR="00785FEC">
              <w:rPr>
                <w:rFonts w:eastAsiaTheme="minorEastAsia"/>
                <w:noProof/>
                <w:kern w:val="2"/>
                <w:lang w:eastAsia="en-AU"/>
                <w14:ligatures w14:val="standardContextual"/>
              </w:rPr>
              <w:tab/>
            </w:r>
            <w:r w:rsidR="00785FEC" w:rsidRPr="00173F81">
              <w:rPr>
                <w:rStyle w:val="Hyperlink"/>
                <w:noProof/>
              </w:rPr>
              <w:t>Production boundary</w:t>
            </w:r>
            <w:r w:rsidR="00785FEC">
              <w:rPr>
                <w:noProof/>
                <w:webHidden/>
              </w:rPr>
              <w:tab/>
            </w:r>
            <w:r w:rsidR="00785FEC">
              <w:rPr>
                <w:noProof/>
                <w:webHidden/>
              </w:rPr>
              <w:fldChar w:fldCharType="begin"/>
            </w:r>
            <w:r w:rsidR="00785FEC">
              <w:rPr>
                <w:noProof/>
                <w:webHidden/>
              </w:rPr>
              <w:instrText xml:space="preserve"> PAGEREF _Toc146029786 \h </w:instrText>
            </w:r>
            <w:r w:rsidR="00785FEC">
              <w:rPr>
                <w:noProof/>
                <w:webHidden/>
              </w:rPr>
            </w:r>
            <w:r w:rsidR="00785FEC">
              <w:rPr>
                <w:noProof/>
                <w:webHidden/>
              </w:rPr>
              <w:fldChar w:fldCharType="separate"/>
            </w:r>
            <w:r w:rsidR="00785FEC">
              <w:rPr>
                <w:noProof/>
                <w:webHidden/>
              </w:rPr>
              <w:t>6</w:t>
            </w:r>
            <w:r w:rsidR="00785FEC">
              <w:rPr>
                <w:noProof/>
                <w:webHidden/>
              </w:rPr>
              <w:fldChar w:fldCharType="end"/>
            </w:r>
          </w:hyperlink>
        </w:p>
        <w:p w14:paraId="21521660" w14:textId="3D2FA69B" w:rsidR="00785FEC" w:rsidRDefault="00B45A65">
          <w:pPr>
            <w:pStyle w:val="TOC2"/>
            <w:rPr>
              <w:rFonts w:eastAsiaTheme="minorEastAsia"/>
              <w:noProof/>
              <w:kern w:val="2"/>
              <w:lang w:eastAsia="en-AU"/>
              <w14:ligatures w14:val="standardContextual"/>
            </w:rPr>
          </w:pPr>
          <w:hyperlink w:anchor="_Toc146029787" w:history="1">
            <w:r w:rsidR="00785FEC" w:rsidRPr="00173F81">
              <w:rPr>
                <w:rStyle w:val="Hyperlink"/>
                <w:noProof/>
              </w:rPr>
              <w:t>Section 1.2</w:t>
            </w:r>
            <w:r w:rsidR="00785FEC">
              <w:rPr>
                <w:rFonts w:eastAsiaTheme="minorEastAsia"/>
                <w:noProof/>
                <w:kern w:val="2"/>
                <w:lang w:eastAsia="en-AU"/>
                <w14:ligatures w14:val="standardContextual"/>
              </w:rPr>
              <w:tab/>
            </w:r>
            <w:r w:rsidR="00785FEC" w:rsidRPr="00173F81">
              <w:rPr>
                <w:rStyle w:val="Hyperlink"/>
                <w:noProof/>
              </w:rPr>
              <w:t>Post-production boundary</w:t>
            </w:r>
            <w:r w:rsidR="00785FEC">
              <w:rPr>
                <w:noProof/>
                <w:webHidden/>
              </w:rPr>
              <w:tab/>
            </w:r>
            <w:r w:rsidR="00785FEC">
              <w:rPr>
                <w:noProof/>
                <w:webHidden/>
              </w:rPr>
              <w:fldChar w:fldCharType="begin"/>
            </w:r>
            <w:r w:rsidR="00785FEC">
              <w:rPr>
                <w:noProof/>
                <w:webHidden/>
              </w:rPr>
              <w:instrText xml:space="preserve"> PAGEREF _Toc146029787 \h </w:instrText>
            </w:r>
            <w:r w:rsidR="00785FEC">
              <w:rPr>
                <w:noProof/>
                <w:webHidden/>
              </w:rPr>
            </w:r>
            <w:r w:rsidR="00785FEC">
              <w:rPr>
                <w:noProof/>
                <w:webHidden/>
              </w:rPr>
              <w:fldChar w:fldCharType="separate"/>
            </w:r>
            <w:r w:rsidR="00785FEC">
              <w:rPr>
                <w:noProof/>
                <w:webHidden/>
              </w:rPr>
              <w:t>13</w:t>
            </w:r>
            <w:r w:rsidR="00785FEC">
              <w:rPr>
                <w:noProof/>
                <w:webHidden/>
              </w:rPr>
              <w:fldChar w:fldCharType="end"/>
            </w:r>
          </w:hyperlink>
        </w:p>
        <w:p w14:paraId="65312821" w14:textId="363B1243" w:rsidR="00785FEC" w:rsidRDefault="00B45A65">
          <w:pPr>
            <w:pStyle w:val="TOC2"/>
            <w:rPr>
              <w:rFonts w:eastAsiaTheme="minorEastAsia"/>
              <w:noProof/>
              <w:kern w:val="2"/>
              <w:lang w:eastAsia="en-AU"/>
              <w14:ligatures w14:val="standardContextual"/>
            </w:rPr>
          </w:pPr>
          <w:hyperlink w:anchor="_Toc146029788" w:history="1">
            <w:r w:rsidR="00785FEC" w:rsidRPr="00173F81">
              <w:rPr>
                <w:rStyle w:val="Hyperlink"/>
                <w:noProof/>
              </w:rPr>
              <w:t>Section 1.3</w:t>
            </w:r>
            <w:r w:rsidR="00785FEC">
              <w:rPr>
                <w:rFonts w:eastAsiaTheme="minorEastAsia"/>
                <w:noProof/>
                <w:kern w:val="2"/>
                <w:lang w:eastAsia="en-AU"/>
                <w14:ligatures w14:val="standardContextual"/>
              </w:rPr>
              <w:tab/>
            </w:r>
            <w:r w:rsidR="00785FEC" w:rsidRPr="00173F81">
              <w:rPr>
                <w:rStyle w:val="Hyperlink"/>
                <w:noProof/>
              </w:rPr>
              <w:t>Greenhouse gases considered</w:t>
            </w:r>
            <w:r w:rsidR="00785FEC">
              <w:rPr>
                <w:noProof/>
                <w:webHidden/>
              </w:rPr>
              <w:tab/>
            </w:r>
            <w:r w:rsidR="00785FEC">
              <w:rPr>
                <w:noProof/>
                <w:webHidden/>
              </w:rPr>
              <w:fldChar w:fldCharType="begin"/>
            </w:r>
            <w:r w:rsidR="00785FEC">
              <w:rPr>
                <w:noProof/>
                <w:webHidden/>
              </w:rPr>
              <w:instrText xml:space="preserve"> PAGEREF _Toc146029788 \h </w:instrText>
            </w:r>
            <w:r w:rsidR="00785FEC">
              <w:rPr>
                <w:noProof/>
                <w:webHidden/>
              </w:rPr>
            </w:r>
            <w:r w:rsidR="00785FEC">
              <w:rPr>
                <w:noProof/>
                <w:webHidden/>
              </w:rPr>
              <w:fldChar w:fldCharType="separate"/>
            </w:r>
            <w:r w:rsidR="00785FEC">
              <w:rPr>
                <w:noProof/>
                <w:webHidden/>
              </w:rPr>
              <w:t>14</w:t>
            </w:r>
            <w:r w:rsidR="00785FEC">
              <w:rPr>
                <w:noProof/>
                <w:webHidden/>
              </w:rPr>
              <w:fldChar w:fldCharType="end"/>
            </w:r>
          </w:hyperlink>
        </w:p>
        <w:p w14:paraId="29DD703A" w14:textId="727B25A9" w:rsidR="00785FEC" w:rsidRDefault="00B45A65">
          <w:pPr>
            <w:pStyle w:val="TOC2"/>
            <w:rPr>
              <w:rFonts w:eastAsiaTheme="minorEastAsia"/>
              <w:noProof/>
              <w:kern w:val="2"/>
              <w:lang w:eastAsia="en-AU"/>
              <w14:ligatures w14:val="standardContextual"/>
            </w:rPr>
          </w:pPr>
          <w:hyperlink w:anchor="_Toc146029789" w:history="1">
            <w:r w:rsidR="00785FEC" w:rsidRPr="00173F81">
              <w:rPr>
                <w:rStyle w:val="Hyperlink"/>
                <w:noProof/>
              </w:rPr>
              <w:t>Section 1.4</w:t>
            </w:r>
            <w:r w:rsidR="00785FEC">
              <w:rPr>
                <w:rFonts w:eastAsiaTheme="minorEastAsia"/>
                <w:noProof/>
                <w:kern w:val="2"/>
                <w:lang w:eastAsia="en-AU"/>
                <w14:ligatures w14:val="standardContextual"/>
              </w:rPr>
              <w:tab/>
            </w:r>
            <w:r w:rsidR="00785FEC" w:rsidRPr="00173F81">
              <w:rPr>
                <w:rStyle w:val="Hyperlink"/>
                <w:noProof/>
              </w:rPr>
              <w:t>Materiality threshold</w:t>
            </w:r>
            <w:r w:rsidR="00785FEC">
              <w:rPr>
                <w:noProof/>
                <w:webHidden/>
              </w:rPr>
              <w:tab/>
            </w:r>
            <w:r w:rsidR="00785FEC">
              <w:rPr>
                <w:noProof/>
                <w:webHidden/>
              </w:rPr>
              <w:fldChar w:fldCharType="begin"/>
            </w:r>
            <w:r w:rsidR="00785FEC">
              <w:rPr>
                <w:noProof/>
                <w:webHidden/>
              </w:rPr>
              <w:instrText xml:space="preserve"> PAGEREF _Toc146029789 \h </w:instrText>
            </w:r>
            <w:r w:rsidR="00785FEC">
              <w:rPr>
                <w:noProof/>
                <w:webHidden/>
              </w:rPr>
            </w:r>
            <w:r w:rsidR="00785FEC">
              <w:rPr>
                <w:noProof/>
                <w:webHidden/>
              </w:rPr>
              <w:fldChar w:fldCharType="separate"/>
            </w:r>
            <w:r w:rsidR="00785FEC">
              <w:rPr>
                <w:noProof/>
                <w:webHidden/>
              </w:rPr>
              <w:t>15</w:t>
            </w:r>
            <w:r w:rsidR="00785FEC">
              <w:rPr>
                <w:noProof/>
                <w:webHidden/>
              </w:rPr>
              <w:fldChar w:fldCharType="end"/>
            </w:r>
          </w:hyperlink>
        </w:p>
        <w:p w14:paraId="2F272CAD" w14:textId="6477CE3B" w:rsidR="00785FEC" w:rsidRDefault="00B45A65">
          <w:pPr>
            <w:pStyle w:val="TOC1"/>
            <w:rPr>
              <w:rFonts w:eastAsiaTheme="minorEastAsia"/>
              <w:noProof/>
              <w:kern w:val="2"/>
              <w:lang w:eastAsia="en-AU"/>
              <w14:ligatures w14:val="standardContextual"/>
            </w:rPr>
          </w:pPr>
          <w:hyperlink w:anchor="_Toc146029790" w:history="1">
            <w:r w:rsidR="00785FEC" w:rsidRPr="00173F81">
              <w:rPr>
                <w:rStyle w:val="Hyperlink"/>
                <w:noProof/>
              </w:rPr>
              <w:t>Part 2.</w:t>
            </w:r>
            <w:r w:rsidR="00785FEC">
              <w:rPr>
                <w:rFonts w:eastAsiaTheme="minorEastAsia"/>
                <w:noProof/>
                <w:kern w:val="2"/>
                <w:lang w:eastAsia="en-AU"/>
                <w14:ligatures w14:val="standardContextual"/>
              </w:rPr>
              <w:tab/>
            </w:r>
            <w:r w:rsidR="00785FEC" w:rsidRPr="00173F81">
              <w:rPr>
                <w:rStyle w:val="Hyperlink"/>
                <w:noProof/>
              </w:rPr>
              <w:t>Emissions intensity values</w:t>
            </w:r>
            <w:r w:rsidR="00785FEC">
              <w:rPr>
                <w:noProof/>
                <w:webHidden/>
              </w:rPr>
              <w:tab/>
            </w:r>
            <w:r w:rsidR="00785FEC">
              <w:rPr>
                <w:noProof/>
                <w:webHidden/>
              </w:rPr>
              <w:fldChar w:fldCharType="begin"/>
            </w:r>
            <w:r w:rsidR="00785FEC">
              <w:rPr>
                <w:noProof/>
                <w:webHidden/>
              </w:rPr>
              <w:instrText xml:space="preserve"> PAGEREF _Toc146029790 \h </w:instrText>
            </w:r>
            <w:r w:rsidR="00785FEC">
              <w:rPr>
                <w:noProof/>
                <w:webHidden/>
              </w:rPr>
            </w:r>
            <w:r w:rsidR="00785FEC">
              <w:rPr>
                <w:noProof/>
                <w:webHidden/>
              </w:rPr>
              <w:fldChar w:fldCharType="separate"/>
            </w:r>
            <w:r w:rsidR="00785FEC">
              <w:rPr>
                <w:noProof/>
                <w:webHidden/>
              </w:rPr>
              <w:t>16</w:t>
            </w:r>
            <w:r w:rsidR="00785FEC">
              <w:rPr>
                <w:noProof/>
                <w:webHidden/>
              </w:rPr>
              <w:fldChar w:fldCharType="end"/>
            </w:r>
          </w:hyperlink>
        </w:p>
        <w:p w14:paraId="0CE9A6E4" w14:textId="6CD25D0A" w:rsidR="00785FEC" w:rsidRDefault="00B45A65">
          <w:pPr>
            <w:pStyle w:val="TOC2"/>
            <w:rPr>
              <w:rFonts w:eastAsiaTheme="minorEastAsia"/>
              <w:noProof/>
              <w:kern w:val="2"/>
              <w:lang w:eastAsia="en-AU"/>
              <w14:ligatures w14:val="standardContextual"/>
            </w:rPr>
          </w:pPr>
          <w:hyperlink w:anchor="_Toc146029791" w:history="1">
            <w:r w:rsidR="00785FEC" w:rsidRPr="00173F81">
              <w:rPr>
                <w:rStyle w:val="Hyperlink"/>
                <w:noProof/>
              </w:rPr>
              <w:t>Section 2.1</w:t>
            </w:r>
            <w:r w:rsidR="00785FEC">
              <w:rPr>
                <w:rFonts w:eastAsiaTheme="minorEastAsia"/>
                <w:noProof/>
                <w:kern w:val="2"/>
                <w:lang w:eastAsia="en-AU"/>
                <w14:ligatures w14:val="standardContextual"/>
              </w:rPr>
              <w:tab/>
            </w:r>
            <w:r w:rsidR="00785FEC" w:rsidRPr="00173F81">
              <w:rPr>
                <w:rStyle w:val="Hyperlink"/>
                <w:noProof/>
              </w:rPr>
              <w:t>Overall emissions intensity</w:t>
            </w:r>
            <w:r w:rsidR="00785FEC">
              <w:rPr>
                <w:noProof/>
                <w:webHidden/>
              </w:rPr>
              <w:tab/>
            </w:r>
            <w:r w:rsidR="00785FEC">
              <w:rPr>
                <w:noProof/>
                <w:webHidden/>
              </w:rPr>
              <w:fldChar w:fldCharType="begin"/>
            </w:r>
            <w:r w:rsidR="00785FEC">
              <w:rPr>
                <w:noProof/>
                <w:webHidden/>
              </w:rPr>
              <w:instrText xml:space="preserve"> PAGEREF _Toc146029791 \h </w:instrText>
            </w:r>
            <w:r w:rsidR="00785FEC">
              <w:rPr>
                <w:noProof/>
                <w:webHidden/>
              </w:rPr>
            </w:r>
            <w:r w:rsidR="00785FEC">
              <w:rPr>
                <w:noProof/>
                <w:webHidden/>
              </w:rPr>
              <w:fldChar w:fldCharType="separate"/>
            </w:r>
            <w:r w:rsidR="00785FEC">
              <w:rPr>
                <w:noProof/>
                <w:webHidden/>
              </w:rPr>
              <w:t>17</w:t>
            </w:r>
            <w:r w:rsidR="00785FEC">
              <w:rPr>
                <w:noProof/>
                <w:webHidden/>
              </w:rPr>
              <w:fldChar w:fldCharType="end"/>
            </w:r>
          </w:hyperlink>
        </w:p>
        <w:p w14:paraId="7AB43B96" w14:textId="4C7652B9" w:rsidR="00785FEC" w:rsidRDefault="00B45A65">
          <w:pPr>
            <w:pStyle w:val="TOC2"/>
            <w:rPr>
              <w:rFonts w:eastAsiaTheme="minorEastAsia"/>
              <w:noProof/>
              <w:kern w:val="2"/>
              <w:lang w:eastAsia="en-AU"/>
              <w14:ligatures w14:val="standardContextual"/>
            </w:rPr>
          </w:pPr>
          <w:hyperlink w:anchor="_Toc146029792" w:history="1">
            <w:r w:rsidR="00785FEC" w:rsidRPr="00173F81">
              <w:rPr>
                <w:rStyle w:val="Hyperlink"/>
                <w:noProof/>
              </w:rPr>
              <w:t>Section 2.2</w:t>
            </w:r>
            <w:r w:rsidR="00785FEC">
              <w:rPr>
                <w:rFonts w:eastAsiaTheme="minorEastAsia"/>
                <w:noProof/>
                <w:kern w:val="2"/>
                <w:lang w:eastAsia="en-AU"/>
                <w14:ligatures w14:val="standardContextual"/>
              </w:rPr>
              <w:tab/>
            </w:r>
            <w:r w:rsidR="00785FEC" w:rsidRPr="00173F81">
              <w:rPr>
                <w:rStyle w:val="Hyperlink"/>
                <w:noProof/>
              </w:rPr>
              <w:t>Production boundary emissions intensity</w:t>
            </w:r>
            <w:r w:rsidR="00785FEC">
              <w:rPr>
                <w:noProof/>
                <w:webHidden/>
              </w:rPr>
              <w:tab/>
            </w:r>
            <w:r w:rsidR="00785FEC">
              <w:rPr>
                <w:noProof/>
                <w:webHidden/>
              </w:rPr>
              <w:fldChar w:fldCharType="begin"/>
            </w:r>
            <w:r w:rsidR="00785FEC">
              <w:rPr>
                <w:noProof/>
                <w:webHidden/>
              </w:rPr>
              <w:instrText xml:space="preserve"> PAGEREF _Toc146029792 \h </w:instrText>
            </w:r>
            <w:r w:rsidR="00785FEC">
              <w:rPr>
                <w:noProof/>
                <w:webHidden/>
              </w:rPr>
            </w:r>
            <w:r w:rsidR="00785FEC">
              <w:rPr>
                <w:noProof/>
                <w:webHidden/>
              </w:rPr>
              <w:fldChar w:fldCharType="separate"/>
            </w:r>
            <w:r w:rsidR="00785FEC">
              <w:rPr>
                <w:noProof/>
                <w:webHidden/>
              </w:rPr>
              <w:t>18</w:t>
            </w:r>
            <w:r w:rsidR="00785FEC">
              <w:rPr>
                <w:noProof/>
                <w:webHidden/>
              </w:rPr>
              <w:fldChar w:fldCharType="end"/>
            </w:r>
          </w:hyperlink>
        </w:p>
        <w:p w14:paraId="6F5EE39F" w14:textId="7C445240" w:rsidR="00785FEC" w:rsidRDefault="00B45A65">
          <w:pPr>
            <w:pStyle w:val="TOC2"/>
            <w:rPr>
              <w:rFonts w:eastAsiaTheme="minorEastAsia"/>
              <w:noProof/>
              <w:kern w:val="2"/>
              <w:lang w:eastAsia="en-AU"/>
              <w14:ligatures w14:val="standardContextual"/>
            </w:rPr>
          </w:pPr>
          <w:hyperlink w:anchor="_Toc146029793" w:history="1">
            <w:r w:rsidR="00785FEC" w:rsidRPr="00173F81">
              <w:rPr>
                <w:rStyle w:val="Hyperlink"/>
                <w:noProof/>
              </w:rPr>
              <w:t>Section 2.3</w:t>
            </w:r>
            <w:r w:rsidR="00785FEC">
              <w:rPr>
                <w:rFonts w:eastAsiaTheme="minorEastAsia"/>
                <w:noProof/>
                <w:kern w:val="2"/>
                <w:lang w:eastAsia="en-AU"/>
                <w14:ligatures w14:val="standardContextual"/>
              </w:rPr>
              <w:tab/>
            </w:r>
            <w:r w:rsidR="00785FEC" w:rsidRPr="00173F81">
              <w:rPr>
                <w:rStyle w:val="Hyperlink"/>
                <w:noProof/>
              </w:rPr>
              <w:t>Post-production boundary emissions intensity</w:t>
            </w:r>
            <w:r w:rsidR="00785FEC">
              <w:rPr>
                <w:noProof/>
                <w:webHidden/>
              </w:rPr>
              <w:tab/>
            </w:r>
            <w:r w:rsidR="00785FEC">
              <w:rPr>
                <w:noProof/>
                <w:webHidden/>
              </w:rPr>
              <w:fldChar w:fldCharType="begin"/>
            </w:r>
            <w:r w:rsidR="00785FEC">
              <w:rPr>
                <w:noProof/>
                <w:webHidden/>
              </w:rPr>
              <w:instrText xml:space="preserve"> PAGEREF _Toc146029793 \h </w:instrText>
            </w:r>
            <w:r w:rsidR="00785FEC">
              <w:rPr>
                <w:noProof/>
                <w:webHidden/>
              </w:rPr>
            </w:r>
            <w:r w:rsidR="00785FEC">
              <w:rPr>
                <w:noProof/>
                <w:webHidden/>
              </w:rPr>
              <w:fldChar w:fldCharType="separate"/>
            </w:r>
            <w:r w:rsidR="00785FEC">
              <w:rPr>
                <w:noProof/>
                <w:webHidden/>
              </w:rPr>
              <w:t>19</w:t>
            </w:r>
            <w:r w:rsidR="00785FEC">
              <w:rPr>
                <w:noProof/>
                <w:webHidden/>
              </w:rPr>
              <w:fldChar w:fldCharType="end"/>
            </w:r>
          </w:hyperlink>
        </w:p>
        <w:p w14:paraId="264F4DF7" w14:textId="6228555A" w:rsidR="00785FEC" w:rsidRDefault="00B45A65">
          <w:pPr>
            <w:pStyle w:val="TOC2"/>
            <w:rPr>
              <w:rFonts w:eastAsiaTheme="minorEastAsia"/>
              <w:noProof/>
              <w:kern w:val="2"/>
              <w:lang w:eastAsia="en-AU"/>
              <w14:ligatures w14:val="standardContextual"/>
            </w:rPr>
          </w:pPr>
          <w:hyperlink w:anchor="_Toc146029794" w:history="1">
            <w:r w:rsidR="00785FEC" w:rsidRPr="00173F81">
              <w:rPr>
                <w:rStyle w:val="Hyperlink"/>
                <w:noProof/>
              </w:rPr>
              <w:t>Section 2.4</w:t>
            </w:r>
            <w:r w:rsidR="00785FEC">
              <w:rPr>
                <w:rFonts w:eastAsiaTheme="minorEastAsia"/>
                <w:noProof/>
                <w:kern w:val="2"/>
                <w:lang w:eastAsia="en-AU"/>
                <w14:ligatures w14:val="standardContextual"/>
              </w:rPr>
              <w:tab/>
            </w:r>
            <w:r w:rsidR="00785FEC" w:rsidRPr="00173F81">
              <w:rPr>
                <w:rStyle w:val="Hyperlink"/>
                <w:noProof/>
              </w:rPr>
              <w:t>Loss correction term</w:t>
            </w:r>
            <w:r w:rsidR="00785FEC">
              <w:rPr>
                <w:noProof/>
                <w:webHidden/>
              </w:rPr>
              <w:tab/>
            </w:r>
            <w:r w:rsidR="00785FEC">
              <w:rPr>
                <w:noProof/>
                <w:webHidden/>
              </w:rPr>
              <w:fldChar w:fldCharType="begin"/>
            </w:r>
            <w:r w:rsidR="00785FEC">
              <w:rPr>
                <w:noProof/>
                <w:webHidden/>
              </w:rPr>
              <w:instrText xml:space="preserve"> PAGEREF _Toc146029794 \h </w:instrText>
            </w:r>
            <w:r w:rsidR="00785FEC">
              <w:rPr>
                <w:noProof/>
                <w:webHidden/>
              </w:rPr>
            </w:r>
            <w:r w:rsidR="00785FEC">
              <w:rPr>
                <w:noProof/>
                <w:webHidden/>
              </w:rPr>
              <w:fldChar w:fldCharType="separate"/>
            </w:r>
            <w:r w:rsidR="00785FEC">
              <w:rPr>
                <w:noProof/>
                <w:webHidden/>
              </w:rPr>
              <w:t>20</w:t>
            </w:r>
            <w:r w:rsidR="00785FEC">
              <w:rPr>
                <w:noProof/>
                <w:webHidden/>
              </w:rPr>
              <w:fldChar w:fldCharType="end"/>
            </w:r>
          </w:hyperlink>
        </w:p>
        <w:p w14:paraId="4B6EB24E" w14:textId="6FD10692" w:rsidR="00785FEC" w:rsidRDefault="00B45A65">
          <w:pPr>
            <w:pStyle w:val="TOC1"/>
            <w:rPr>
              <w:rFonts w:eastAsiaTheme="minorEastAsia"/>
              <w:noProof/>
              <w:kern w:val="2"/>
              <w:lang w:eastAsia="en-AU"/>
              <w14:ligatures w14:val="standardContextual"/>
            </w:rPr>
          </w:pPr>
          <w:hyperlink w:anchor="_Toc146029795" w:history="1">
            <w:r w:rsidR="00785FEC" w:rsidRPr="00173F81">
              <w:rPr>
                <w:rStyle w:val="Hyperlink"/>
                <w:noProof/>
              </w:rPr>
              <w:t>Part 3.</w:t>
            </w:r>
            <w:r w:rsidR="00785FEC">
              <w:rPr>
                <w:rFonts w:eastAsiaTheme="minorEastAsia"/>
                <w:noProof/>
                <w:kern w:val="2"/>
                <w:lang w:eastAsia="en-AU"/>
                <w14:ligatures w14:val="standardContextual"/>
              </w:rPr>
              <w:tab/>
            </w:r>
            <w:r w:rsidR="00785FEC" w:rsidRPr="00173F81">
              <w:rPr>
                <w:rStyle w:val="Hyperlink"/>
                <w:noProof/>
              </w:rPr>
              <w:t>Estimating emissions</w:t>
            </w:r>
            <w:r w:rsidR="00785FEC">
              <w:rPr>
                <w:noProof/>
                <w:webHidden/>
              </w:rPr>
              <w:tab/>
            </w:r>
            <w:r w:rsidR="00785FEC">
              <w:rPr>
                <w:noProof/>
                <w:webHidden/>
              </w:rPr>
              <w:fldChar w:fldCharType="begin"/>
            </w:r>
            <w:r w:rsidR="00785FEC">
              <w:rPr>
                <w:noProof/>
                <w:webHidden/>
              </w:rPr>
              <w:instrText xml:space="preserve"> PAGEREF _Toc146029795 \h </w:instrText>
            </w:r>
            <w:r w:rsidR="00785FEC">
              <w:rPr>
                <w:noProof/>
                <w:webHidden/>
              </w:rPr>
            </w:r>
            <w:r w:rsidR="00785FEC">
              <w:rPr>
                <w:noProof/>
                <w:webHidden/>
              </w:rPr>
              <w:fldChar w:fldCharType="separate"/>
            </w:r>
            <w:r w:rsidR="00785FEC">
              <w:rPr>
                <w:noProof/>
                <w:webHidden/>
              </w:rPr>
              <w:t>21</w:t>
            </w:r>
            <w:r w:rsidR="00785FEC">
              <w:rPr>
                <w:noProof/>
                <w:webHidden/>
              </w:rPr>
              <w:fldChar w:fldCharType="end"/>
            </w:r>
          </w:hyperlink>
        </w:p>
        <w:p w14:paraId="70BB2F4D" w14:textId="7A4D401F" w:rsidR="00785FEC" w:rsidRDefault="00B45A65">
          <w:pPr>
            <w:pStyle w:val="TOC2"/>
            <w:rPr>
              <w:rFonts w:eastAsiaTheme="minorEastAsia"/>
              <w:noProof/>
              <w:kern w:val="2"/>
              <w:lang w:eastAsia="en-AU"/>
              <w14:ligatures w14:val="standardContextual"/>
            </w:rPr>
          </w:pPr>
          <w:hyperlink w:anchor="_Toc146029796" w:history="1">
            <w:r w:rsidR="00785FEC" w:rsidRPr="00173F81">
              <w:rPr>
                <w:rStyle w:val="Hyperlink"/>
                <w:noProof/>
              </w:rPr>
              <w:t>Section 3.1</w:t>
            </w:r>
            <w:r w:rsidR="00785FEC">
              <w:rPr>
                <w:rFonts w:eastAsiaTheme="minorEastAsia"/>
                <w:noProof/>
                <w:kern w:val="2"/>
                <w:lang w:eastAsia="en-AU"/>
                <w14:ligatures w14:val="standardContextual"/>
              </w:rPr>
              <w:tab/>
            </w:r>
            <w:r w:rsidR="00785FEC" w:rsidRPr="00173F81">
              <w:rPr>
                <w:rStyle w:val="Hyperlink"/>
                <w:noProof/>
              </w:rPr>
              <w:t>Production boundary emissions</w:t>
            </w:r>
            <w:r w:rsidR="00785FEC">
              <w:rPr>
                <w:noProof/>
                <w:webHidden/>
              </w:rPr>
              <w:tab/>
            </w:r>
            <w:r w:rsidR="00785FEC">
              <w:rPr>
                <w:noProof/>
                <w:webHidden/>
              </w:rPr>
              <w:fldChar w:fldCharType="begin"/>
            </w:r>
            <w:r w:rsidR="00785FEC">
              <w:rPr>
                <w:noProof/>
                <w:webHidden/>
              </w:rPr>
              <w:instrText xml:space="preserve"> PAGEREF _Toc146029796 \h </w:instrText>
            </w:r>
            <w:r w:rsidR="00785FEC">
              <w:rPr>
                <w:noProof/>
                <w:webHidden/>
              </w:rPr>
            </w:r>
            <w:r w:rsidR="00785FEC">
              <w:rPr>
                <w:noProof/>
                <w:webHidden/>
              </w:rPr>
              <w:fldChar w:fldCharType="separate"/>
            </w:r>
            <w:r w:rsidR="00785FEC">
              <w:rPr>
                <w:noProof/>
                <w:webHidden/>
              </w:rPr>
              <w:t>22</w:t>
            </w:r>
            <w:r w:rsidR="00785FEC">
              <w:rPr>
                <w:noProof/>
                <w:webHidden/>
              </w:rPr>
              <w:fldChar w:fldCharType="end"/>
            </w:r>
          </w:hyperlink>
        </w:p>
        <w:p w14:paraId="58129C6D" w14:textId="2EFFB106" w:rsidR="00785FEC" w:rsidRDefault="00B45A65">
          <w:pPr>
            <w:pStyle w:val="TOC2"/>
            <w:rPr>
              <w:rFonts w:eastAsiaTheme="minorEastAsia"/>
              <w:noProof/>
              <w:kern w:val="2"/>
              <w:lang w:eastAsia="en-AU"/>
              <w14:ligatures w14:val="standardContextual"/>
            </w:rPr>
          </w:pPr>
          <w:hyperlink w:anchor="_Toc146029797" w:history="1">
            <w:r w:rsidR="00785FEC" w:rsidRPr="00173F81">
              <w:rPr>
                <w:rStyle w:val="Hyperlink"/>
                <w:noProof/>
              </w:rPr>
              <w:t>Section 3.2</w:t>
            </w:r>
            <w:r w:rsidR="00785FEC">
              <w:rPr>
                <w:rFonts w:eastAsiaTheme="minorEastAsia"/>
                <w:noProof/>
                <w:kern w:val="2"/>
                <w:lang w:eastAsia="en-AU"/>
                <w14:ligatures w14:val="standardContextual"/>
              </w:rPr>
              <w:tab/>
            </w:r>
            <w:r w:rsidR="00785FEC" w:rsidRPr="00173F81">
              <w:rPr>
                <w:rStyle w:val="Hyperlink"/>
                <w:noProof/>
              </w:rPr>
              <w:t>Post-production boundary emissions</w:t>
            </w:r>
            <w:r w:rsidR="00785FEC">
              <w:rPr>
                <w:noProof/>
                <w:webHidden/>
              </w:rPr>
              <w:tab/>
            </w:r>
            <w:r w:rsidR="00785FEC">
              <w:rPr>
                <w:noProof/>
                <w:webHidden/>
              </w:rPr>
              <w:fldChar w:fldCharType="begin"/>
            </w:r>
            <w:r w:rsidR="00785FEC">
              <w:rPr>
                <w:noProof/>
                <w:webHidden/>
              </w:rPr>
              <w:instrText xml:space="preserve"> PAGEREF _Toc146029797 \h </w:instrText>
            </w:r>
            <w:r w:rsidR="00785FEC">
              <w:rPr>
                <w:noProof/>
                <w:webHidden/>
              </w:rPr>
            </w:r>
            <w:r w:rsidR="00785FEC">
              <w:rPr>
                <w:noProof/>
                <w:webHidden/>
              </w:rPr>
              <w:fldChar w:fldCharType="separate"/>
            </w:r>
            <w:r w:rsidR="00785FEC">
              <w:rPr>
                <w:noProof/>
                <w:webHidden/>
              </w:rPr>
              <w:t>37</w:t>
            </w:r>
            <w:r w:rsidR="00785FEC">
              <w:rPr>
                <w:noProof/>
                <w:webHidden/>
              </w:rPr>
              <w:fldChar w:fldCharType="end"/>
            </w:r>
          </w:hyperlink>
        </w:p>
        <w:p w14:paraId="5D07DA63" w14:textId="19F61D40" w:rsidR="00785FEC" w:rsidRDefault="00B45A65">
          <w:pPr>
            <w:pStyle w:val="TOC1"/>
            <w:rPr>
              <w:rFonts w:eastAsiaTheme="minorEastAsia"/>
              <w:noProof/>
              <w:kern w:val="2"/>
              <w:lang w:eastAsia="en-AU"/>
              <w14:ligatures w14:val="standardContextual"/>
            </w:rPr>
          </w:pPr>
          <w:hyperlink w:anchor="_Toc146029798" w:history="1">
            <w:r w:rsidR="00785FEC" w:rsidRPr="00173F81">
              <w:rPr>
                <w:rStyle w:val="Hyperlink"/>
                <w:noProof/>
              </w:rPr>
              <w:t>Part 4.</w:t>
            </w:r>
            <w:r w:rsidR="00785FEC">
              <w:rPr>
                <w:rFonts w:eastAsiaTheme="minorEastAsia"/>
                <w:noProof/>
                <w:kern w:val="2"/>
                <w:lang w:eastAsia="en-AU"/>
                <w14:ligatures w14:val="standardContextual"/>
              </w:rPr>
              <w:tab/>
            </w:r>
            <w:r w:rsidR="00785FEC" w:rsidRPr="00173F81">
              <w:rPr>
                <w:rStyle w:val="Hyperlink"/>
                <w:noProof/>
              </w:rPr>
              <w:t>Data sources</w:t>
            </w:r>
            <w:r w:rsidR="00785FEC">
              <w:rPr>
                <w:noProof/>
                <w:webHidden/>
              </w:rPr>
              <w:tab/>
            </w:r>
            <w:r w:rsidR="00785FEC">
              <w:rPr>
                <w:noProof/>
                <w:webHidden/>
              </w:rPr>
              <w:fldChar w:fldCharType="begin"/>
            </w:r>
            <w:r w:rsidR="00785FEC">
              <w:rPr>
                <w:noProof/>
                <w:webHidden/>
              </w:rPr>
              <w:instrText xml:space="preserve"> PAGEREF _Toc146029798 \h </w:instrText>
            </w:r>
            <w:r w:rsidR="00785FEC">
              <w:rPr>
                <w:noProof/>
                <w:webHidden/>
              </w:rPr>
            </w:r>
            <w:r w:rsidR="00785FEC">
              <w:rPr>
                <w:noProof/>
                <w:webHidden/>
              </w:rPr>
              <w:fldChar w:fldCharType="separate"/>
            </w:r>
            <w:r w:rsidR="00785FEC">
              <w:rPr>
                <w:noProof/>
                <w:webHidden/>
              </w:rPr>
              <w:t>44</w:t>
            </w:r>
            <w:r w:rsidR="00785FEC">
              <w:rPr>
                <w:noProof/>
                <w:webHidden/>
              </w:rPr>
              <w:fldChar w:fldCharType="end"/>
            </w:r>
          </w:hyperlink>
        </w:p>
        <w:p w14:paraId="1151EB2C" w14:textId="3395CF21" w:rsidR="00785FEC" w:rsidRDefault="00B45A65">
          <w:pPr>
            <w:pStyle w:val="TOC2"/>
            <w:rPr>
              <w:rFonts w:eastAsiaTheme="minorEastAsia"/>
              <w:noProof/>
              <w:kern w:val="2"/>
              <w:lang w:eastAsia="en-AU"/>
              <w14:ligatures w14:val="standardContextual"/>
            </w:rPr>
          </w:pPr>
          <w:hyperlink w:anchor="_Toc146029799" w:history="1">
            <w:r w:rsidR="00785FEC" w:rsidRPr="00173F81">
              <w:rPr>
                <w:rStyle w:val="Hyperlink"/>
                <w:noProof/>
              </w:rPr>
              <w:t>Section 4.1</w:t>
            </w:r>
            <w:r w:rsidR="00785FEC">
              <w:rPr>
                <w:rFonts w:eastAsiaTheme="minorEastAsia"/>
                <w:noProof/>
                <w:kern w:val="2"/>
                <w:lang w:eastAsia="en-AU"/>
                <w14:ligatures w14:val="standardContextual"/>
              </w:rPr>
              <w:tab/>
            </w:r>
            <w:r w:rsidR="00785FEC" w:rsidRPr="00173F81">
              <w:rPr>
                <w:rStyle w:val="Hyperlink"/>
                <w:noProof/>
              </w:rPr>
              <w:t>Measurement guidance</w:t>
            </w:r>
            <w:r w:rsidR="00785FEC">
              <w:rPr>
                <w:noProof/>
                <w:webHidden/>
              </w:rPr>
              <w:tab/>
            </w:r>
            <w:r w:rsidR="00785FEC">
              <w:rPr>
                <w:noProof/>
                <w:webHidden/>
              </w:rPr>
              <w:fldChar w:fldCharType="begin"/>
            </w:r>
            <w:r w:rsidR="00785FEC">
              <w:rPr>
                <w:noProof/>
                <w:webHidden/>
              </w:rPr>
              <w:instrText xml:space="preserve"> PAGEREF _Toc146029799 \h </w:instrText>
            </w:r>
            <w:r w:rsidR="00785FEC">
              <w:rPr>
                <w:noProof/>
                <w:webHidden/>
              </w:rPr>
            </w:r>
            <w:r w:rsidR="00785FEC">
              <w:rPr>
                <w:noProof/>
                <w:webHidden/>
              </w:rPr>
              <w:fldChar w:fldCharType="separate"/>
            </w:r>
            <w:r w:rsidR="00785FEC">
              <w:rPr>
                <w:noProof/>
                <w:webHidden/>
              </w:rPr>
              <w:t>46</w:t>
            </w:r>
            <w:r w:rsidR="00785FEC">
              <w:rPr>
                <w:noProof/>
                <w:webHidden/>
              </w:rPr>
              <w:fldChar w:fldCharType="end"/>
            </w:r>
          </w:hyperlink>
        </w:p>
        <w:p w14:paraId="0EB7BD58" w14:textId="29CDBA44" w:rsidR="00785FEC" w:rsidRDefault="00B45A65">
          <w:pPr>
            <w:pStyle w:val="TOC2"/>
            <w:rPr>
              <w:rFonts w:eastAsiaTheme="minorEastAsia"/>
              <w:noProof/>
              <w:kern w:val="2"/>
              <w:lang w:eastAsia="en-AU"/>
              <w14:ligatures w14:val="standardContextual"/>
            </w:rPr>
          </w:pPr>
          <w:hyperlink w:anchor="_Toc146029800" w:history="1">
            <w:r w:rsidR="00785FEC" w:rsidRPr="00173F81">
              <w:rPr>
                <w:rStyle w:val="Hyperlink"/>
                <w:noProof/>
              </w:rPr>
              <w:t>Section 4.2</w:t>
            </w:r>
            <w:r w:rsidR="00785FEC">
              <w:rPr>
                <w:rFonts w:eastAsiaTheme="minorEastAsia"/>
                <w:noProof/>
                <w:kern w:val="2"/>
                <w:lang w:eastAsia="en-AU"/>
                <w14:ligatures w14:val="standardContextual"/>
              </w:rPr>
              <w:tab/>
            </w:r>
            <w:r w:rsidR="00785FEC" w:rsidRPr="00173F81">
              <w:rPr>
                <w:rStyle w:val="Hyperlink"/>
                <w:noProof/>
              </w:rPr>
              <w:t>Emissions factors</w:t>
            </w:r>
            <w:r w:rsidR="00785FEC">
              <w:rPr>
                <w:noProof/>
                <w:webHidden/>
              </w:rPr>
              <w:tab/>
            </w:r>
            <w:r w:rsidR="00785FEC">
              <w:rPr>
                <w:noProof/>
                <w:webHidden/>
              </w:rPr>
              <w:fldChar w:fldCharType="begin"/>
            </w:r>
            <w:r w:rsidR="00785FEC">
              <w:rPr>
                <w:noProof/>
                <w:webHidden/>
              </w:rPr>
              <w:instrText xml:space="preserve"> PAGEREF _Toc146029800 \h </w:instrText>
            </w:r>
            <w:r w:rsidR="00785FEC">
              <w:rPr>
                <w:noProof/>
                <w:webHidden/>
              </w:rPr>
            </w:r>
            <w:r w:rsidR="00785FEC">
              <w:rPr>
                <w:noProof/>
                <w:webHidden/>
              </w:rPr>
              <w:fldChar w:fldCharType="separate"/>
            </w:r>
            <w:r w:rsidR="00785FEC">
              <w:rPr>
                <w:noProof/>
                <w:webHidden/>
              </w:rPr>
              <w:t>50</w:t>
            </w:r>
            <w:r w:rsidR="00785FEC">
              <w:rPr>
                <w:noProof/>
                <w:webHidden/>
              </w:rPr>
              <w:fldChar w:fldCharType="end"/>
            </w:r>
          </w:hyperlink>
        </w:p>
        <w:p w14:paraId="39E7A1F3" w14:textId="149DE0A7" w:rsidR="00785FEC" w:rsidRDefault="00B45A65">
          <w:pPr>
            <w:pStyle w:val="TOC2"/>
            <w:rPr>
              <w:rFonts w:eastAsiaTheme="minorEastAsia"/>
              <w:noProof/>
              <w:kern w:val="2"/>
              <w:lang w:eastAsia="en-AU"/>
              <w14:ligatures w14:val="standardContextual"/>
            </w:rPr>
          </w:pPr>
          <w:hyperlink w:anchor="_Toc146029801" w:history="1">
            <w:r w:rsidR="00785FEC" w:rsidRPr="00173F81">
              <w:rPr>
                <w:rStyle w:val="Hyperlink"/>
                <w:noProof/>
              </w:rPr>
              <w:t>Section 4.3</w:t>
            </w:r>
            <w:r w:rsidR="00785FEC">
              <w:rPr>
                <w:rFonts w:eastAsiaTheme="minorEastAsia"/>
                <w:noProof/>
                <w:kern w:val="2"/>
                <w:lang w:eastAsia="en-AU"/>
                <w14:ligatures w14:val="standardContextual"/>
              </w:rPr>
              <w:tab/>
            </w:r>
            <w:r w:rsidR="00785FEC" w:rsidRPr="00173F81">
              <w:rPr>
                <w:rStyle w:val="Hyperlink"/>
                <w:noProof/>
              </w:rPr>
              <w:t>Co-product allocation values</w:t>
            </w:r>
            <w:r w:rsidR="00785FEC">
              <w:rPr>
                <w:noProof/>
                <w:webHidden/>
              </w:rPr>
              <w:tab/>
            </w:r>
            <w:r w:rsidR="00785FEC">
              <w:rPr>
                <w:noProof/>
                <w:webHidden/>
              </w:rPr>
              <w:fldChar w:fldCharType="begin"/>
            </w:r>
            <w:r w:rsidR="00785FEC">
              <w:rPr>
                <w:noProof/>
                <w:webHidden/>
              </w:rPr>
              <w:instrText xml:space="preserve"> PAGEREF _Toc146029801 \h </w:instrText>
            </w:r>
            <w:r w:rsidR="00785FEC">
              <w:rPr>
                <w:noProof/>
                <w:webHidden/>
              </w:rPr>
            </w:r>
            <w:r w:rsidR="00785FEC">
              <w:rPr>
                <w:noProof/>
                <w:webHidden/>
              </w:rPr>
              <w:fldChar w:fldCharType="separate"/>
            </w:r>
            <w:r w:rsidR="00785FEC">
              <w:rPr>
                <w:noProof/>
                <w:webHidden/>
              </w:rPr>
              <w:t>54</w:t>
            </w:r>
            <w:r w:rsidR="00785FEC">
              <w:rPr>
                <w:noProof/>
                <w:webHidden/>
              </w:rPr>
              <w:fldChar w:fldCharType="end"/>
            </w:r>
          </w:hyperlink>
        </w:p>
        <w:p w14:paraId="063CBDF9" w14:textId="73220A17" w:rsidR="00785FEC" w:rsidRDefault="00B45A65">
          <w:pPr>
            <w:pStyle w:val="TOC2"/>
            <w:rPr>
              <w:rFonts w:eastAsiaTheme="minorEastAsia"/>
              <w:noProof/>
              <w:kern w:val="2"/>
              <w:lang w:eastAsia="en-AU"/>
              <w14:ligatures w14:val="standardContextual"/>
            </w:rPr>
          </w:pPr>
          <w:hyperlink w:anchor="_Toc146029802" w:history="1">
            <w:r w:rsidR="00785FEC" w:rsidRPr="00173F81">
              <w:rPr>
                <w:rStyle w:val="Hyperlink"/>
                <w:noProof/>
              </w:rPr>
              <w:t>Section 4.4</w:t>
            </w:r>
            <w:r w:rsidR="00785FEC">
              <w:rPr>
                <w:rFonts w:eastAsiaTheme="minorEastAsia"/>
                <w:noProof/>
                <w:kern w:val="2"/>
                <w:lang w:eastAsia="en-AU"/>
                <w14:ligatures w14:val="standardContextual"/>
              </w:rPr>
              <w:tab/>
            </w:r>
            <w:r w:rsidR="00785FEC" w:rsidRPr="00173F81">
              <w:rPr>
                <w:rStyle w:val="Hyperlink"/>
                <w:noProof/>
              </w:rPr>
              <w:t>List of potentially relevant chemicals</w:t>
            </w:r>
            <w:r w:rsidR="00785FEC">
              <w:rPr>
                <w:noProof/>
                <w:webHidden/>
              </w:rPr>
              <w:tab/>
            </w:r>
            <w:r w:rsidR="00785FEC">
              <w:rPr>
                <w:noProof/>
                <w:webHidden/>
              </w:rPr>
              <w:fldChar w:fldCharType="begin"/>
            </w:r>
            <w:r w:rsidR="00785FEC">
              <w:rPr>
                <w:noProof/>
                <w:webHidden/>
              </w:rPr>
              <w:instrText xml:space="preserve"> PAGEREF _Toc146029802 \h </w:instrText>
            </w:r>
            <w:r w:rsidR="00785FEC">
              <w:rPr>
                <w:noProof/>
                <w:webHidden/>
              </w:rPr>
            </w:r>
            <w:r w:rsidR="00785FEC">
              <w:rPr>
                <w:noProof/>
                <w:webHidden/>
              </w:rPr>
              <w:fldChar w:fldCharType="separate"/>
            </w:r>
            <w:r w:rsidR="00785FEC">
              <w:rPr>
                <w:noProof/>
                <w:webHidden/>
              </w:rPr>
              <w:t>55</w:t>
            </w:r>
            <w:r w:rsidR="00785FEC">
              <w:rPr>
                <w:noProof/>
                <w:webHidden/>
              </w:rPr>
              <w:fldChar w:fldCharType="end"/>
            </w:r>
          </w:hyperlink>
        </w:p>
        <w:p w14:paraId="6350B300" w14:textId="767C52B5" w:rsidR="00785FEC" w:rsidRDefault="00B45A65">
          <w:pPr>
            <w:pStyle w:val="TOC1"/>
            <w:rPr>
              <w:rFonts w:eastAsiaTheme="minorEastAsia"/>
              <w:noProof/>
              <w:kern w:val="2"/>
              <w:lang w:eastAsia="en-AU"/>
              <w14:ligatures w14:val="standardContextual"/>
            </w:rPr>
          </w:pPr>
          <w:hyperlink w:anchor="_Toc146029803" w:history="1">
            <w:r w:rsidR="00785FEC" w:rsidRPr="00173F81">
              <w:rPr>
                <w:rStyle w:val="Hyperlink"/>
                <w:noProof/>
              </w:rPr>
              <w:t>Part 5.</w:t>
            </w:r>
            <w:r w:rsidR="00785FEC">
              <w:rPr>
                <w:rFonts w:eastAsiaTheme="minorEastAsia"/>
                <w:noProof/>
                <w:kern w:val="2"/>
                <w:lang w:eastAsia="en-AU"/>
                <w14:ligatures w14:val="standardContextual"/>
              </w:rPr>
              <w:tab/>
            </w:r>
            <w:r w:rsidR="00785FEC" w:rsidRPr="00173F81">
              <w:rPr>
                <w:rStyle w:val="Hyperlink"/>
                <w:noProof/>
              </w:rPr>
              <w:t>List of terms and acronyms</w:t>
            </w:r>
            <w:r w:rsidR="00785FEC">
              <w:rPr>
                <w:noProof/>
                <w:webHidden/>
              </w:rPr>
              <w:tab/>
            </w:r>
            <w:r w:rsidR="00785FEC">
              <w:rPr>
                <w:noProof/>
                <w:webHidden/>
              </w:rPr>
              <w:fldChar w:fldCharType="begin"/>
            </w:r>
            <w:r w:rsidR="00785FEC">
              <w:rPr>
                <w:noProof/>
                <w:webHidden/>
              </w:rPr>
              <w:instrText xml:space="preserve"> PAGEREF _Toc146029803 \h </w:instrText>
            </w:r>
            <w:r w:rsidR="00785FEC">
              <w:rPr>
                <w:noProof/>
                <w:webHidden/>
              </w:rPr>
            </w:r>
            <w:r w:rsidR="00785FEC">
              <w:rPr>
                <w:noProof/>
                <w:webHidden/>
              </w:rPr>
              <w:fldChar w:fldCharType="separate"/>
            </w:r>
            <w:r w:rsidR="00785FEC">
              <w:rPr>
                <w:noProof/>
                <w:webHidden/>
              </w:rPr>
              <w:t>56</w:t>
            </w:r>
            <w:r w:rsidR="00785FEC">
              <w:rPr>
                <w:noProof/>
                <w:webHidden/>
              </w:rPr>
              <w:fldChar w:fldCharType="end"/>
            </w:r>
          </w:hyperlink>
        </w:p>
        <w:p w14:paraId="7323C2F0" w14:textId="29EFF406" w:rsidR="004C5DE5" w:rsidRDefault="004C5DE5">
          <w:r>
            <w:fldChar w:fldCharType="end"/>
          </w:r>
        </w:p>
      </w:sdtContent>
    </w:sdt>
    <w:p w14:paraId="121C450C" w14:textId="77777777" w:rsidR="00874318" w:rsidRDefault="00874318">
      <w:pPr>
        <w:rPr>
          <w:rFonts w:asciiTheme="majorHAnsi" w:eastAsiaTheme="majorEastAsia" w:hAnsiTheme="majorHAnsi" w:cstheme="majorBidi"/>
          <w:color w:val="44546A" w:themeColor="text2"/>
          <w:sz w:val="48"/>
          <w:szCs w:val="32"/>
        </w:rPr>
      </w:pPr>
      <w:r>
        <w:br w:type="page"/>
      </w:r>
    </w:p>
    <w:p w14:paraId="5716557F" w14:textId="77777777" w:rsidR="008B7E4B" w:rsidRDefault="008B7E4B" w:rsidP="008B7E4B">
      <w:pPr>
        <w:pStyle w:val="Heading1"/>
        <w:numPr>
          <w:ilvl w:val="0"/>
          <w:numId w:val="0"/>
        </w:numPr>
      </w:pPr>
      <w:bookmarkStart w:id="95" w:name="_Toc146029784"/>
      <w:r>
        <w:t>Executive summary</w:t>
      </w:r>
      <w:bookmarkEnd w:id="95"/>
    </w:p>
    <w:p w14:paraId="0EDADA22" w14:textId="6BBBCB5E" w:rsidR="008B7E4B" w:rsidRPr="00EE077F" w:rsidRDefault="008B7E4B" w:rsidP="008B7E4B">
      <w:r w:rsidRPr="00EE077F">
        <w:t xml:space="preserve">This </w:t>
      </w:r>
      <w:r w:rsidR="00DA461A">
        <w:t xml:space="preserve">paper is an </w:t>
      </w:r>
      <w:r w:rsidRPr="00EE077F">
        <w:t>attachment to the Guarantee of Origin (GO) Scheme Design consultation paper</w:t>
      </w:r>
      <w:r w:rsidR="00DA461A">
        <w:t xml:space="preserve"> and </w:t>
      </w:r>
      <w:r w:rsidRPr="00EE077F">
        <w:t xml:space="preserve">provides a transparent insight into the proposed emissions accounting framework that underpins the GO Scheme. The framework is designed to meet the requirements of the International Partnership for Hydrogen and Fuel Cells in the Economy’s (IPHE’s) published </w:t>
      </w:r>
      <w:hyperlink r:id="rId14" w:history="1">
        <w:r w:rsidRPr="00EE077F">
          <w:rPr>
            <w:rStyle w:val="Hyperlink"/>
          </w:rPr>
          <w:t>Methodology for Determining the Greenhouse Gas Emissions Associated with the Production of Hydrogen</w:t>
        </w:r>
      </w:hyperlink>
      <w:r w:rsidRPr="00EE077F">
        <w:t xml:space="preserve">. It also explains how existing frameworks and data sources will be able to be leveraged to meet the requirements of the IPHE methodology. </w:t>
      </w:r>
    </w:p>
    <w:p w14:paraId="7CEEFA87" w14:textId="72334515" w:rsidR="008B7E4B" w:rsidRPr="00EE077F" w:rsidRDefault="008B7E4B" w:rsidP="008B7E4B">
      <w:r w:rsidRPr="00EE077F">
        <w:t xml:space="preserve">This attachment is supported by the Guarantee of Origin </w:t>
      </w:r>
      <w:r w:rsidR="00974C95">
        <w:t>E</w:t>
      </w:r>
      <w:r w:rsidRPr="00EE077F">
        <w:t xml:space="preserve">missions </w:t>
      </w:r>
      <w:r w:rsidR="00974C95">
        <w:t>C</w:t>
      </w:r>
      <w:r w:rsidRPr="00EE077F">
        <w:t>alculator (GO calculator), which has been published alongside this attachment and demonstrates a practical implementation of the framework.</w:t>
      </w:r>
    </w:p>
    <w:p w14:paraId="770E0560" w14:textId="258FFD2C" w:rsidR="008B7E4B" w:rsidRPr="00EE077F" w:rsidRDefault="008B7E4B" w:rsidP="008B7E4B">
      <w:r>
        <w:t xml:space="preserve">The proposed accounting framework builds on the domestic and international stakeholder feedback received on the </w:t>
      </w:r>
      <w:hyperlink r:id="rId15">
        <w:r w:rsidRPr="06EDB2C5">
          <w:rPr>
            <w:rStyle w:val="Hyperlink"/>
            <w:color w:val="2F5496" w:themeColor="accent1" w:themeShade="BF"/>
          </w:rPr>
          <w:t>consultation papers</w:t>
        </w:r>
      </w:hyperlink>
      <w:r>
        <w:t xml:space="preserve"> released by the Department of Climate Change, Energy, the Environment and Water (the Department) in December 20</w:t>
      </w:r>
      <w:r w:rsidR="00EA1330">
        <w:t>2</w:t>
      </w:r>
      <w:r w:rsidR="00140465">
        <w:t xml:space="preserve">2, </w:t>
      </w:r>
      <w:r>
        <w:t>trials of the draft scheme on selected operational and well-advance</w:t>
      </w:r>
      <w:r w:rsidR="001A418B">
        <w:t>d</w:t>
      </w:r>
      <w:r>
        <w:t xml:space="preserve"> projects and continuing international engagement.</w:t>
      </w:r>
    </w:p>
    <w:p w14:paraId="6FF12949" w14:textId="65FD6E3C" w:rsidR="008B7E4B" w:rsidRPr="00EE077F" w:rsidRDefault="0078572B" w:rsidP="008B7E4B">
      <w:pPr>
        <w:spacing w:after="200"/>
      </w:pPr>
      <w:r>
        <w:t xml:space="preserve">The </w:t>
      </w:r>
      <w:r w:rsidR="008B7E4B" w:rsidRPr="00EE077F">
        <w:t>GO Scheme</w:t>
      </w:r>
      <w:r w:rsidR="00E669EF">
        <w:t xml:space="preserve"> will </w:t>
      </w:r>
      <w:r w:rsidR="00E669EF" w:rsidRPr="00EE077F">
        <w:t xml:space="preserve">commence initially with hydrogen (and its </w:t>
      </w:r>
      <w:r w:rsidR="00F7627C">
        <w:t xml:space="preserve">energy </w:t>
      </w:r>
      <w:r w:rsidR="00E669EF" w:rsidRPr="00EE077F">
        <w:t>carriers) and renewable electricity only</w:t>
      </w:r>
      <w:r w:rsidR="00044DA2">
        <w:t>.</w:t>
      </w:r>
      <w:r w:rsidR="00835249">
        <w:t xml:space="preserve"> </w:t>
      </w:r>
      <w:r w:rsidR="00044DA2">
        <w:t xml:space="preserve">The emissions accounting framework proposed in this attachment </w:t>
      </w:r>
      <w:r w:rsidR="00056C5A">
        <w:t xml:space="preserve">therefore </w:t>
      </w:r>
      <w:r w:rsidR="00044DA2">
        <w:t xml:space="preserve">focuses on </w:t>
      </w:r>
      <w:r w:rsidR="0042063B">
        <w:t xml:space="preserve">production, transport and storage of </w:t>
      </w:r>
      <w:r w:rsidR="00044DA2">
        <w:t>hydrogen</w:t>
      </w:r>
      <w:r w:rsidR="00F7627C">
        <w:t>.</w:t>
      </w:r>
      <w:r w:rsidR="00044DA2">
        <w:t xml:space="preserve"> </w:t>
      </w:r>
      <w:r w:rsidR="00F7627C">
        <w:t>However, it is intended</w:t>
      </w:r>
      <w:r w:rsidR="00F7627C" w:rsidRPr="00EE077F">
        <w:t xml:space="preserve"> </w:t>
      </w:r>
      <w:r w:rsidR="00F7627C">
        <w:t>that the Scheme will be</w:t>
      </w:r>
      <w:r w:rsidR="00F7627C" w:rsidRPr="00EE077F">
        <w:t xml:space="preserve"> expanded to cover a wide range of clean energy products</w:t>
      </w:r>
      <w:r w:rsidR="006D117A">
        <w:t xml:space="preserve"> and the emissions accounting framework</w:t>
      </w:r>
      <w:r w:rsidR="00044DA2">
        <w:t xml:space="preserve"> </w:t>
      </w:r>
      <w:r w:rsidR="009F313E">
        <w:t xml:space="preserve">will </w:t>
      </w:r>
      <w:r w:rsidR="00A337D0">
        <w:t xml:space="preserve">remain </w:t>
      </w:r>
      <w:r w:rsidR="009F313E">
        <w:t xml:space="preserve">flexible and </w:t>
      </w:r>
      <w:r w:rsidR="00044DA2" w:rsidRPr="00EE077F">
        <w:t>evolv</w:t>
      </w:r>
      <w:r w:rsidR="009F313E">
        <w:t>e</w:t>
      </w:r>
      <w:r w:rsidR="00044DA2">
        <w:t xml:space="preserve"> as more products are added to the scope of the Scheme. </w:t>
      </w:r>
      <w:r w:rsidR="008B7E4B" w:rsidRPr="00EE077F">
        <w:t>Prioriti</w:t>
      </w:r>
      <w:r w:rsidR="000B6F59">
        <w:t>s</w:t>
      </w:r>
      <w:r w:rsidR="008B7E4B" w:rsidRPr="00EE077F">
        <w:t xml:space="preserve">ation of the products to include in future is underway and the input on this is also sought </w:t>
      </w:r>
      <w:r w:rsidR="003D302F" w:rsidRPr="00EE077F">
        <w:t xml:space="preserve">from the stakeholders </w:t>
      </w:r>
      <w:r w:rsidR="008B7E4B" w:rsidRPr="00EE077F">
        <w:t>in this round of consultation</w:t>
      </w:r>
      <w:r w:rsidR="00DF5E32">
        <w:t>,</w:t>
      </w:r>
      <w:r w:rsidR="00B802B1">
        <w:t xml:space="preserve"> through the </w:t>
      </w:r>
      <w:r w:rsidR="00DF5E32">
        <w:t>survey form available on the Department’s website</w:t>
      </w:r>
      <w:r w:rsidR="008B7E4B" w:rsidRPr="00EE077F">
        <w:t>.</w:t>
      </w:r>
    </w:p>
    <w:p w14:paraId="5B81A031" w14:textId="77777777" w:rsidR="00C33648" w:rsidRDefault="008B7E4B" w:rsidP="008B7E4B">
      <w:r w:rsidRPr="00EE077F">
        <w:t>This attachment is divided into five parts</w:t>
      </w:r>
      <w:r w:rsidR="00C33648">
        <w:t>:</w:t>
      </w:r>
      <w:r w:rsidRPr="00EE077F">
        <w:t xml:space="preserve"> </w:t>
      </w:r>
    </w:p>
    <w:p w14:paraId="070B5012" w14:textId="067CEE1D" w:rsidR="00D236BE" w:rsidRDefault="008B7E4B" w:rsidP="00C33648">
      <w:pPr>
        <w:pStyle w:val="ListParagraph"/>
        <w:numPr>
          <w:ilvl w:val="0"/>
          <w:numId w:val="30"/>
        </w:numPr>
      </w:pPr>
      <w:r w:rsidRPr="00EE077F">
        <w:t xml:space="preserve">Part 1 </w:t>
      </w:r>
      <w:r>
        <w:t>defin</w:t>
      </w:r>
      <w:r w:rsidR="00A73C28">
        <w:t>es</w:t>
      </w:r>
      <w:r w:rsidRPr="00EE077F">
        <w:t xml:space="preserve"> the system </w:t>
      </w:r>
      <w:r>
        <w:t>boundar</w:t>
      </w:r>
      <w:r w:rsidR="00A73C28">
        <w:t>y</w:t>
      </w:r>
      <w:r w:rsidR="00F16FEF">
        <w:t xml:space="preserve"> for</w:t>
      </w:r>
      <w:r w:rsidRPr="00EE077F">
        <w:t xml:space="preserve"> the emissions accounting framework under the GO Scheme and </w:t>
      </w:r>
      <w:r w:rsidR="00D236BE">
        <w:t>the</w:t>
      </w:r>
      <w:r w:rsidRPr="00EE077F">
        <w:t xml:space="preserve"> </w:t>
      </w:r>
      <w:r w:rsidR="009C3795">
        <w:t xml:space="preserve">relevant </w:t>
      </w:r>
      <w:r w:rsidRPr="00EE077F">
        <w:t xml:space="preserve">activities and emissions. </w:t>
      </w:r>
    </w:p>
    <w:p w14:paraId="1CAACCDD" w14:textId="77777777" w:rsidR="00D236BE" w:rsidRDefault="008B7E4B" w:rsidP="00C33648">
      <w:pPr>
        <w:pStyle w:val="ListParagraph"/>
        <w:numPr>
          <w:ilvl w:val="0"/>
          <w:numId w:val="30"/>
        </w:numPr>
      </w:pPr>
      <w:r w:rsidRPr="00EE077F">
        <w:t xml:space="preserve">Part 2 provides the definitions of emissions intensities and how they are treated in the GO Scheme. </w:t>
      </w:r>
    </w:p>
    <w:p w14:paraId="00B2EAB3" w14:textId="77777777" w:rsidR="0078636A" w:rsidRDefault="008B7E4B" w:rsidP="00C33648">
      <w:pPr>
        <w:pStyle w:val="ListParagraph"/>
        <w:numPr>
          <w:ilvl w:val="0"/>
          <w:numId w:val="30"/>
        </w:numPr>
      </w:pPr>
      <w:r w:rsidRPr="00EE077F">
        <w:t xml:space="preserve">Part 3 </w:t>
      </w:r>
      <w:r w:rsidR="007D7EF3">
        <w:t>provides</w:t>
      </w:r>
      <w:r w:rsidRPr="00EE077F">
        <w:t xml:space="preserve"> details of how the emissions are calculated, with examples and linkages to </w:t>
      </w:r>
      <w:r w:rsidRPr="00C33648">
        <w:rPr>
          <w:color w:val="000000" w:themeColor="text1"/>
        </w:rPr>
        <w:t>the Calculator</w:t>
      </w:r>
      <w:r w:rsidRPr="00EE077F">
        <w:t>.</w:t>
      </w:r>
    </w:p>
    <w:p w14:paraId="4DEBB054" w14:textId="51A97A46" w:rsidR="00015E65" w:rsidRDefault="008B7E4B" w:rsidP="00C33648">
      <w:pPr>
        <w:pStyle w:val="ListParagraph"/>
        <w:numPr>
          <w:ilvl w:val="0"/>
          <w:numId w:val="30"/>
        </w:numPr>
      </w:pPr>
      <w:r w:rsidRPr="00EE077F">
        <w:t xml:space="preserve">Part 4 lists the appropriate methods of measurements for input data and the sources of standard </w:t>
      </w:r>
      <w:r>
        <w:t>parameters</w:t>
      </w:r>
      <w:r w:rsidRPr="00EE077F">
        <w:t xml:space="preserve"> such as emissions factors and fuel efficiencies used in the calculations of emissions intensities.</w:t>
      </w:r>
    </w:p>
    <w:p w14:paraId="11C9C7A3" w14:textId="2639A655" w:rsidR="008B7E4B" w:rsidRPr="00EE077F" w:rsidRDefault="008B7E4B" w:rsidP="00C33648">
      <w:pPr>
        <w:pStyle w:val="ListParagraph"/>
        <w:numPr>
          <w:ilvl w:val="0"/>
          <w:numId w:val="30"/>
        </w:numPr>
      </w:pPr>
      <w:r w:rsidRPr="00EE077F">
        <w:t>Part 5 is the glossary of terms referred to in this attachment.</w:t>
      </w:r>
    </w:p>
    <w:p w14:paraId="04FC8445" w14:textId="788D21F7" w:rsidR="008B7E4B" w:rsidRDefault="008B7E4B" w:rsidP="008B7E4B">
      <w:r w:rsidRPr="00EE077F">
        <w:t>Feedback received on this attachment will help shape the emissions accounting approach of the GO Scheme</w:t>
      </w:r>
      <w:r w:rsidR="00AB5743">
        <w:t xml:space="preserve"> and the development of </w:t>
      </w:r>
      <w:r w:rsidR="000274B1">
        <w:t>legislative</w:t>
      </w:r>
      <w:r w:rsidR="00AB5743">
        <w:t xml:space="preserve"> </w:t>
      </w:r>
      <w:r w:rsidR="000274B1">
        <w:t>instruments</w:t>
      </w:r>
      <w:r w:rsidR="00AB5743">
        <w:t xml:space="preserve"> underpinning the scheme</w:t>
      </w:r>
      <w:r w:rsidRPr="00EE077F">
        <w:t>.</w:t>
      </w:r>
      <w:r>
        <w:t xml:space="preserve"> </w:t>
      </w:r>
      <w:r w:rsidRPr="00EE077F">
        <w:t xml:space="preserve">The Department is seeking stakeholder views on the emissions accounting approach outlined in this attachment, </w:t>
      </w:r>
      <w:r w:rsidRPr="00EE077F">
        <w:rPr>
          <w:color w:val="000000" w:themeColor="text1"/>
        </w:rPr>
        <w:t>to understand how well the regulatory burden of the scheme is balanced with the need for scheme integrity and how practical it is to provide the required information.</w:t>
      </w:r>
      <w:r w:rsidRPr="00EE077F">
        <w:t xml:space="preserve"> Responses can be provided directly through the Department’s </w:t>
      </w:r>
      <w:r w:rsidRPr="0057650A">
        <w:t>consultation hub</w:t>
      </w:r>
      <w:r w:rsidRPr="00EE077F">
        <w:t>.</w:t>
      </w:r>
    </w:p>
    <w:p w14:paraId="402CBEDF" w14:textId="2F4FE759" w:rsidR="003D4C76" w:rsidRPr="00D31382" w:rsidRDefault="00E363F5" w:rsidP="00E363F5">
      <w:pPr>
        <w:rPr>
          <w:rFonts w:asciiTheme="majorHAnsi" w:eastAsiaTheme="majorEastAsia" w:hAnsiTheme="majorHAnsi" w:cstheme="majorBidi"/>
          <w:color w:val="44546A" w:themeColor="text2"/>
        </w:rPr>
      </w:pPr>
      <w:r>
        <w:t xml:space="preserve"> </w:t>
      </w:r>
    </w:p>
    <w:p w14:paraId="6D72C87E" w14:textId="77777777" w:rsidR="007F7CD7" w:rsidRDefault="007F7CD7">
      <w:r>
        <w:br w:type="page"/>
      </w:r>
    </w:p>
    <w:p w14:paraId="76990491" w14:textId="2DE5211C" w:rsidR="00831FA5" w:rsidRDefault="00715BB0">
      <w:pPr>
        <w:pStyle w:val="Heading1"/>
      </w:pPr>
      <w:bookmarkStart w:id="96" w:name="_Toc142562104"/>
      <w:bookmarkStart w:id="97" w:name="_Toc142912312"/>
      <w:bookmarkStart w:id="98" w:name="_Toc142913806"/>
      <w:bookmarkStart w:id="99" w:name="_Toc142562097"/>
      <w:bookmarkStart w:id="100" w:name="_Toc142912305"/>
      <w:bookmarkStart w:id="101" w:name="_Toc142913799"/>
      <w:bookmarkStart w:id="102" w:name="_Toc142562098"/>
      <w:bookmarkStart w:id="103" w:name="_Toc142912306"/>
      <w:bookmarkStart w:id="104" w:name="_Toc142913800"/>
      <w:bookmarkStart w:id="105" w:name="_Toc142562099"/>
      <w:bookmarkStart w:id="106" w:name="_Toc142912307"/>
      <w:bookmarkStart w:id="107" w:name="_Toc142913801"/>
      <w:bookmarkStart w:id="108" w:name="_Toc142562100"/>
      <w:bookmarkStart w:id="109" w:name="_Toc142912308"/>
      <w:bookmarkStart w:id="110" w:name="_Toc142913802"/>
      <w:bookmarkStart w:id="111" w:name="_Toc142562101"/>
      <w:bookmarkStart w:id="112" w:name="_Toc142912309"/>
      <w:bookmarkStart w:id="113" w:name="_Toc142913803"/>
      <w:bookmarkStart w:id="114" w:name="_Toc142562102"/>
      <w:bookmarkStart w:id="115" w:name="_Toc142912310"/>
      <w:bookmarkStart w:id="116" w:name="_Toc142913804"/>
      <w:bookmarkStart w:id="117" w:name="_Toc142562103"/>
      <w:bookmarkStart w:id="118" w:name="_Toc142912311"/>
      <w:bookmarkStart w:id="119" w:name="_Toc142913805"/>
      <w:bookmarkStart w:id="120" w:name="_Toc146029785"/>
      <w:bookmarkEnd w:id="26"/>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t xml:space="preserve">Emissions </w:t>
      </w:r>
      <w:r w:rsidR="00B27252">
        <w:t>accounting scope</w:t>
      </w:r>
      <w:bookmarkEnd w:id="120"/>
    </w:p>
    <w:tbl>
      <w:tblPr>
        <w:tblStyle w:val="TableGrid"/>
        <w:tblpPr w:leftFromText="180" w:rightFromText="180" w:vertAnchor="text" w:horzAnchor="margin" w:tblpY="-46"/>
        <w:tblW w:w="0" w:type="auto"/>
        <w:tblLook w:val="04A0" w:firstRow="1" w:lastRow="0" w:firstColumn="1" w:lastColumn="0" w:noHBand="0" w:noVBand="1"/>
      </w:tblPr>
      <w:tblGrid>
        <w:gridCol w:w="9006"/>
      </w:tblGrid>
      <w:tr w:rsidR="009841C2" w14:paraId="3AFF8FCE" w14:textId="77777777" w:rsidTr="00DD10F1">
        <w:trPr>
          <w:trHeight w:val="1124"/>
        </w:trPr>
        <w:tc>
          <w:tcPr>
            <w:tcW w:w="9006" w:type="dxa"/>
            <w:shd w:val="clear" w:color="auto" w:fill="D9D9D9" w:themeFill="background1" w:themeFillShade="D9"/>
          </w:tcPr>
          <w:p w14:paraId="37A1B4E8" w14:textId="77777777" w:rsidR="00486D18" w:rsidRPr="00F604EC" w:rsidRDefault="00486D18" w:rsidP="009841C2">
            <w:pPr>
              <w:spacing w:before="120"/>
              <w:rPr>
                <w:b/>
                <w:bCs/>
              </w:rPr>
            </w:pPr>
            <w:r>
              <w:rPr>
                <w:b/>
                <w:bCs/>
              </w:rPr>
              <w:t>Feedback sought:</w:t>
            </w:r>
          </w:p>
          <w:p w14:paraId="284B6C54" w14:textId="1B3F9643" w:rsidR="00486D18" w:rsidRDefault="00486D18" w:rsidP="009841C2">
            <w:pPr>
              <w:spacing w:before="120" w:after="120"/>
            </w:pPr>
            <w:r>
              <w:t>The Department is seeking feedback on</w:t>
            </w:r>
            <w:r w:rsidR="004E7A75">
              <w:t xml:space="preserve"> the </w:t>
            </w:r>
            <w:r w:rsidR="00DD10F1">
              <w:t xml:space="preserve">ability for registered participants to provide information across </w:t>
            </w:r>
            <w:r w:rsidR="004E7A75">
              <w:t>the proposed production and post-production boundaries for the GO scheme</w:t>
            </w:r>
            <w:r>
              <w:t>.</w:t>
            </w:r>
          </w:p>
        </w:tc>
      </w:tr>
    </w:tbl>
    <w:p w14:paraId="2C026FA9" w14:textId="3112A9C1" w:rsidR="009D4DD6" w:rsidRDefault="00AA2E4C" w:rsidP="00AF41E2">
      <w:pPr>
        <w:spacing w:before="120"/>
      </w:pPr>
      <w:r>
        <w:t>The first step in defining the emissions accounting methodology for the Guarantee of Origin scheme (GO scheme) is to define the scope</w:t>
      </w:r>
      <w:r w:rsidR="00036F06">
        <w:t xml:space="preserve"> of the system boundary</w:t>
      </w:r>
      <w:r>
        <w:t xml:space="preserve">. There are </w:t>
      </w:r>
      <w:r w:rsidR="00036F06">
        <w:t>two</w:t>
      </w:r>
      <w:r>
        <w:t xml:space="preserve"> key components </w:t>
      </w:r>
      <w:r w:rsidR="00036F06">
        <w:t>of the system boundary</w:t>
      </w:r>
      <w:r>
        <w:t xml:space="preserve">: the </w:t>
      </w:r>
      <w:r w:rsidR="009034D3">
        <w:t>production</w:t>
      </w:r>
      <w:r>
        <w:t xml:space="preserve"> boundary and the post-production boundary. </w:t>
      </w:r>
      <w:r w:rsidR="009D4DD6">
        <w:t xml:space="preserve">The approach to identifying emissions within </w:t>
      </w:r>
      <w:r w:rsidR="003A6973">
        <w:t xml:space="preserve">these boundaries can then be used to produce an estimate of the </w:t>
      </w:r>
      <w:r w:rsidR="007F5E78">
        <w:t xml:space="preserve">emissions intensity per functional unit of production. </w:t>
      </w:r>
    </w:p>
    <w:p w14:paraId="55997422" w14:textId="736A0CF2" w:rsidR="0062527F" w:rsidRDefault="000D360C" w:rsidP="00D13EC6">
      <w:r>
        <w:t xml:space="preserve">The </w:t>
      </w:r>
      <w:r w:rsidRPr="00B55C8C">
        <w:rPr>
          <w:b/>
          <w:bCs/>
          <w:iCs/>
        </w:rPr>
        <w:t>system boundary</w:t>
      </w:r>
      <w:r>
        <w:t xml:space="preserve"> for the </w:t>
      </w:r>
      <w:r w:rsidR="004E24B8">
        <w:t xml:space="preserve">GO scheme’s emissions accounting methodology </w:t>
      </w:r>
      <w:r w:rsidR="00646874">
        <w:t xml:space="preserve">will be </w:t>
      </w:r>
      <w:r w:rsidR="00641CEB">
        <w:t xml:space="preserve">based on a </w:t>
      </w:r>
      <w:r w:rsidR="00A5171A">
        <w:t>well</w:t>
      </w:r>
      <w:r w:rsidR="00646874">
        <w:t>-to-</w:t>
      </w:r>
      <w:r w:rsidR="001571C2">
        <w:t>delivery gate</w:t>
      </w:r>
      <w:r w:rsidR="00B82D7C">
        <w:t xml:space="preserve"> </w:t>
      </w:r>
      <w:r w:rsidR="001073F2">
        <w:t>system boundary</w:t>
      </w:r>
      <w:r w:rsidR="47AC2A76">
        <w:t xml:space="preserve"> (Figure 1)</w:t>
      </w:r>
      <w:r w:rsidR="008F2536">
        <w:t xml:space="preserve">. This position is consistent with the proposed </w:t>
      </w:r>
      <w:r w:rsidR="0062527F">
        <w:t xml:space="preserve">scope of the International Partnership for Hydrogen and Fuel Cells in the Economy </w:t>
      </w:r>
      <w:r w:rsidR="001073F2">
        <w:t xml:space="preserve">(IPHE) </w:t>
      </w:r>
      <w:r w:rsidR="009612F9">
        <w:t>methodology</w:t>
      </w:r>
      <w:r w:rsidR="009A0632">
        <w:t>.</w:t>
      </w:r>
      <w:r w:rsidR="008F2536">
        <w:t xml:space="preserve"> </w:t>
      </w:r>
    </w:p>
    <w:p w14:paraId="5C3F44F9" w14:textId="7C1F94A5" w:rsidR="001362E9" w:rsidRDefault="001073F2" w:rsidP="00D13EC6">
      <w:r>
        <w:t xml:space="preserve">This system boundary in effect means that </w:t>
      </w:r>
      <w:r w:rsidR="000545B2">
        <w:t xml:space="preserve">following </w:t>
      </w:r>
      <w:r>
        <w:t xml:space="preserve">emissions </w:t>
      </w:r>
      <w:r w:rsidR="00CC0054">
        <w:t xml:space="preserve">will </w:t>
      </w:r>
      <w:r w:rsidR="000545B2">
        <w:t xml:space="preserve">be </w:t>
      </w:r>
      <w:r w:rsidR="00CC0054">
        <w:t>cover</w:t>
      </w:r>
      <w:r w:rsidR="000545B2">
        <w:t>ed by the GO scheme</w:t>
      </w:r>
      <w:r w:rsidR="00CC0054">
        <w:t>:</w:t>
      </w:r>
    </w:p>
    <w:p w14:paraId="32D09E87" w14:textId="7DEA69D1" w:rsidR="00D75AB3" w:rsidRDefault="00D75AB3" w:rsidP="00114278">
      <w:pPr>
        <w:pStyle w:val="ListParagraph"/>
        <w:numPr>
          <w:ilvl w:val="0"/>
          <w:numId w:val="10"/>
        </w:numPr>
      </w:pPr>
      <w:r>
        <w:t>Upstream emissions associated with the extraction, processing and transport of feedstocks,</w:t>
      </w:r>
    </w:p>
    <w:p w14:paraId="6C1AD5B4" w14:textId="3B6DA2B7" w:rsidR="00E927A8" w:rsidRDefault="004904E6" w:rsidP="00114278">
      <w:pPr>
        <w:pStyle w:val="ListParagraph"/>
        <w:numPr>
          <w:ilvl w:val="0"/>
          <w:numId w:val="10"/>
        </w:numPr>
      </w:pPr>
      <w:r>
        <w:t>Direct</w:t>
      </w:r>
      <w:r w:rsidR="00922067">
        <w:t xml:space="preserve"> </w:t>
      </w:r>
      <w:r w:rsidR="00E927A8">
        <w:t>emissions</w:t>
      </w:r>
      <w:r w:rsidR="00922067">
        <w:t xml:space="preserve"> associated with </w:t>
      </w:r>
      <w:r w:rsidR="0096580D">
        <w:t>the production</w:t>
      </w:r>
      <w:r w:rsidR="00BF4165">
        <w:t xml:space="preserve"> of</w:t>
      </w:r>
      <w:r w:rsidR="0096580D">
        <w:t xml:space="preserve"> output</w:t>
      </w:r>
      <w:r w:rsidR="00BF4165">
        <w:t>s</w:t>
      </w:r>
      <w:r w:rsidR="0096580D">
        <w:t xml:space="preserve"> from the product facility</w:t>
      </w:r>
      <w:r w:rsidR="00BF4165">
        <w:t>,</w:t>
      </w:r>
    </w:p>
    <w:p w14:paraId="1CD10714" w14:textId="026C8EA1" w:rsidR="00534F96" w:rsidRDefault="00534F96" w:rsidP="00114278">
      <w:pPr>
        <w:pStyle w:val="ListParagraph"/>
        <w:numPr>
          <w:ilvl w:val="0"/>
          <w:numId w:val="10"/>
        </w:numPr>
      </w:pPr>
      <w:r>
        <w:t xml:space="preserve">Post-production emissions </w:t>
      </w:r>
      <w:r w:rsidR="00BF4165">
        <w:t xml:space="preserve">associated with transport and storage of the registered product to its </w:t>
      </w:r>
      <w:r w:rsidR="00590D07">
        <w:t>delivery gate</w:t>
      </w:r>
      <w:r w:rsidR="00BF4165">
        <w:t>.</w:t>
      </w:r>
    </w:p>
    <w:p w14:paraId="5A3487E6" w14:textId="4EB3B8D9" w:rsidR="001073F2" w:rsidRDefault="00BF4165" w:rsidP="00D13EC6">
      <w:r>
        <w:t xml:space="preserve">This boundary excludes emissions associated with capital </w:t>
      </w:r>
      <w:r w:rsidR="00A02DB6">
        <w:t xml:space="preserve">expenditure, </w:t>
      </w:r>
      <w:r w:rsidR="00835964">
        <w:t xml:space="preserve">consumption of the registered product, </w:t>
      </w:r>
      <w:r w:rsidR="009500F7">
        <w:t xml:space="preserve">end-of-life </w:t>
      </w:r>
      <w:r w:rsidR="0046132C">
        <w:t xml:space="preserve">and waste processing. These emissions sources may be considered for inclusion in the future but are </w:t>
      </w:r>
      <w:r w:rsidR="00CA56F3">
        <w:t xml:space="preserve">currently </w:t>
      </w:r>
      <w:r w:rsidR="0046132C">
        <w:t xml:space="preserve">outside of scope for the initial GO scheme. </w:t>
      </w:r>
    </w:p>
    <w:p w14:paraId="1793B29A" w14:textId="1535B206" w:rsidR="00FA4BE7" w:rsidRDefault="00FA4BE7" w:rsidP="00D13EC6">
      <w:r>
        <w:t xml:space="preserve">The system boundary can be broken down into two smaller </w:t>
      </w:r>
      <w:r w:rsidR="0023652A">
        <w:t xml:space="preserve">sections consisting of </w:t>
      </w:r>
      <w:r>
        <w:t xml:space="preserve">the </w:t>
      </w:r>
      <w:r w:rsidR="009034D3" w:rsidRPr="00B55C8C">
        <w:rPr>
          <w:b/>
          <w:bCs/>
        </w:rPr>
        <w:t>production</w:t>
      </w:r>
      <w:r w:rsidRPr="00B55C8C">
        <w:rPr>
          <w:b/>
          <w:bCs/>
        </w:rPr>
        <w:t xml:space="preserve"> boundary</w:t>
      </w:r>
      <w:r w:rsidR="002C487D" w:rsidRPr="002C487D">
        <w:t>,</w:t>
      </w:r>
      <w:r>
        <w:t xml:space="preserve"> </w:t>
      </w:r>
      <w:r w:rsidR="0023652A">
        <w:t xml:space="preserve">which covers </w:t>
      </w:r>
      <w:r w:rsidR="00E14533">
        <w:t xml:space="preserve">the </w:t>
      </w:r>
      <w:r w:rsidR="0023652A">
        <w:t>well</w:t>
      </w:r>
      <w:r w:rsidR="00D60EF6">
        <w:t xml:space="preserve"> to the gate </w:t>
      </w:r>
      <w:r w:rsidR="00E14533">
        <w:t xml:space="preserve">at the </w:t>
      </w:r>
      <w:r>
        <w:t xml:space="preserve">production </w:t>
      </w:r>
      <w:r w:rsidR="00E14533">
        <w:t>site</w:t>
      </w:r>
      <w:r w:rsidR="003A3595">
        <w:t>,</w:t>
      </w:r>
      <w:r w:rsidR="00E14533">
        <w:t xml:space="preserve"> </w:t>
      </w:r>
      <w:r>
        <w:t xml:space="preserve">and the </w:t>
      </w:r>
      <w:r w:rsidRPr="00B55C8C">
        <w:rPr>
          <w:b/>
          <w:bCs/>
        </w:rPr>
        <w:t>post-production boundary</w:t>
      </w:r>
      <w:r w:rsidR="002C487D" w:rsidRPr="002C487D">
        <w:t>,</w:t>
      </w:r>
      <w:r w:rsidR="00E14533" w:rsidRPr="009E4D67">
        <w:t xml:space="preserve"> which</w:t>
      </w:r>
      <w:r w:rsidR="00E14533" w:rsidRPr="003736F2">
        <w:t xml:space="preserve"> </w:t>
      </w:r>
      <w:r w:rsidR="009E4D67" w:rsidRPr="003736F2">
        <w:t>covers the transport and storage of the product</w:t>
      </w:r>
      <w:r w:rsidR="003736F2" w:rsidRPr="003736F2">
        <w:t xml:space="preserve"> from the production gate to the delivery gate</w:t>
      </w:r>
      <w:r w:rsidR="1BD5D8C2">
        <w:t xml:space="preserve"> (Figure 1)</w:t>
      </w:r>
      <w:r>
        <w:t>.</w:t>
      </w:r>
      <w:r w:rsidR="00011880">
        <w:t xml:space="preserve"> </w:t>
      </w:r>
      <w:r w:rsidR="00665018">
        <w:t>The</w:t>
      </w:r>
      <w:r w:rsidR="00C630A5">
        <w:t xml:space="preserve"> scope of these boundaries can vary between different production pathways and supply chains. The</w:t>
      </w:r>
      <w:r w:rsidR="004A717E">
        <w:t xml:space="preserve"> profile registration process will effectively set the scope of these boundaries and how emissions will be reported throughout them.</w:t>
      </w:r>
    </w:p>
    <w:p w14:paraId="4567850C" w14:textId="77777777" w:rsidR="00745531" w:rsidRDefault="00745531" w:rsidP="00745531">
      <w:pPr>
        <w:jc w:val="center"/>
        <w:rPr>
          <w:rFonts w:eastAsiaTheme="minorEastAsia"/>
          <w:b/>
          <w:bCs/>
          <w:i/>
          <w:iCs/>
        </w:rPr>
      </w:pPr>
      <w:r>
        <w:rPr>
          <w:noProof/>
        </w:rPr>
        <w:drawing>
          <wp:inline distT="0" distB="0" distL="0" distR="0" wp14:anchorId="08838E11" wp14:editId="04205410">
            <wp:extent cx="6336000" cy="2302208"/>
            <wp:effectExtent l="0" t="0" r="0" b="0"/>
            <wp:docPr id="2" name="Picture 2" descr="A diagram of a pro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project&#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36000" cy="2302208"/>
                    </a:xfrm>
                    <a:prstGeom prst="rect">
                      <a:avLst/>
                    </a:prstGeom>
                    <a:noFill/>
                  </pic:spPr>
                </pic:pic>
              </a:graphicData>
            </a:graphic>
          </wp:inline>
        </w:drawing>
      </w:r>
    </w:p>
    <w:p w14:paraId="2B5010D2" w14:textId="27E05B26" w:rsidR="001454DF" w:rsidRDefault="00C10DF9" w:rsidP="00745531">
      <w:pPr>
        <w:jc w:val="center"/>
      </w:pPr>
      <w:r w:rsidRPr="06EDB2C5">
        <w:rPr>
          <w:rFonts w:eastAsiaTheme="minorEastAsia"/>
          <w:b/>
          <w:bCs/>
          <w:i/>
          <w:iCs/>
        </w:rPr>
        <w:t>Figure 1 System boundary for the GO scheme’s emissions accounting methodology.</w:t>
      </w:r>
    </w:p>
    <w:p w14:paraId="25BE3622" w14:textId="32B78268" w:rsidR="00345A34" w:rsidRDefault="009034D3" w:rsidP="00BB357C">
      <w:pPr>
        <w:pStyle w:val="Heading2"/>
        <w:spacing w:before="360"/>
      </w:pPr>
      <w:bookmarkStart w:id="121" w:name="_Ref140523528"/>
      <w:bookmarkStart w:id="122" w:name="_Toc146029786"/>
      <w:r>
        <w:t>Production boundary</w:t>
      </w:r>
      <w:bookmarkEnd w:id="121"/>
      <w:bookmarkEnd w:id="122"/>
    </w:p>
    <w:p w14:paraId="568E6F49" w14:textId="3A9E5607" w:rsidR="00440503" w:rsidRDefault="001038DF" w:rsidP="001B735A">
      <w:r>
        <w:t xml:space="preserve">The </w:t>
      </w:r>
      <w:r w:rsidR="009034D3">
        <w:t>production</w:t>
      </w:r>
      <w:r>
        <w:t xml:space="preserve"> boundary </w:t>
      </w:r>
      <w:r w:rsidR="001B735A">
        <w:t xml:space="preserve">includes upstream and </w:t>
      </w:r>
      <w:r w:rsidR="002732EB">
        <w:t>direct</w:t>
      </w:r>
      <w:r w:rsidR="001B735A">
        <w:t xml:space="preserve"> emissions </w:t>
      </w:r>
      <w:r w:rsidR="00DD5388">
        <w:t xml:space="preserve">through </w:t>
      </w:r>
      <w:r w:rsidR="001B735A">
        <w:t xml:space="preserve">to the production gate. It </w:t>
      </w:r>
      <w:r w:rsidR="00E26AC0">
        <w:t xml:space="preserve">is set through the information provided </w:t>
      </w:r>
      <w:r w:rsidR="008A5666">
        <w:t xml:space="preserve">during the product profile registration process. </w:t>
      </w:r>
      <w:r w:rsidR="00E5111C">
        <w:t xml:space="preserve">This boundary effectively </w:t>
      </w:r>
      <w:r w:rsidR="00056DD3">
        <w:t xml:space="preserve">sets the scope for the </w:t>
      </w:r>
      <w:r w:rsidR="00DF2282">
        <w:t>well</w:t>
      </w:r>
      <w:r w:rsidR="00E5111C">
        <w:t>-</w:t>
      </w:r>
      <w:r w:rsidR="00056DD3">
        <w:t>to</w:t>
      </w:r>
      <w:r w:rsidR="00E5111C">
        <w:t>-</w:t>
      </w:r>
      <w:r w:rsidR="003272DB">
        <w:t xml:space="preserve">production </w:t>
      </w:r>
      <w:r w:rsidR="00056DD3">
        <w:t>gate portion of the system boundary discussed above</w:t>
      </w:r>
      <w:r w:rsidR="001B735A">
        <w:t xml:space="preserve">. </w:t>
      </w:r>
    </w:p>
    <w:p w14:paraId="6D689737" w14:textId="2FA0C5D5" w:rsidR="00440503" w:rsidRDefault="00440503" w:rsidP="001B735A">
      <w:r>
        <w:t xml:space="preserve">The </w:t>
      </w:r>
      <w:r w:rsidR="008E2758">
        <w:t xml:space="preserve">registered participant will need to define their production process </w:t>
      </w:r>
      <w:r w:rsidR="00E445BD">
        <w:t xml:space="preserve">through their product profiles, which will specify the production pathway and </w:t>
      </w:r>
      <w:r w:rsidR="00F92B0A">
        <w:t xml:space="preserve">process steps (or </w:t>
      </w:r>
      <w:r w:rsidR="002A3C42">
        <w:t>modules</w:t>
      </w:r>
      <w:r w:rsidR="00190347">
        <w:t xml:space="preserve">) </w:t>
      </w:r>
      <w:r w:rsidR="002A3C42">
        <w:t>that</w:t>
      </w:r>
      <w:r w:rsidR="003E3F9A">
        <w:t xml:space="preserve"> are included as part of the product facility. </w:t>
      </w:r>
      <w:r w:rsidR="00F92B0A">
        <w:t>Once the</w:t>
      </w:r>
      <w:r w:rsidR="008066DE">
        <w:t>se matters have been identified</w:t>
      </w:r>
      <w:r w:rsidR="005B6EAD">
        <w:t>,</w:t>
      </w:r>
      <w:r w:rsidR="008066DE">
        <w:t xml:space="preserve"> </w:t>
      </w:r>
      <w:r w:rsidR="007E69CC">
        <w:t xml:space="preserve">the registered participant will then need to specify how they are intending to measure the emissions sources associated with each module. </w:t>
      </w:r>
    </w:p>
    <w:p w14:paraId="52C2702F" w14:textId="77046C9B" w:rsidR="00B96589" w:rsidRDefault="00F5117C" w:rsidP="001B735A">
      <w:r>
        <w:t xml:space="preserve">Where the </w:t>
      </w:r>
      <w:r w:rsidR="00080AC2">
        <w:t>production boundary</w:t>
      </w:r>
      <w:r>
        <w:t xml:space="preserve"> </w:t>
      </w:r>
      <w:r w:rsidR="001F0D07">
        <w:t xml:space="preserve">includes processing steps for different </w:t>
      </w:r>
      <w:r w:rsidR="0077651A">
        <w:t xml:space="preserve">transport requirements, such as pressure </w:t>
      </w:r>
      <w:r w:rsidR="00D32633">
        <w:t>and purity</w:t>
      </w:r>
      <w:r w:rsidR="00105878">
        <w:t xml:space="preserve">, the last </w:t>
      </w:r>
      <w:r w:rsidR="006A293A">
        <w:t xml:space="preserve">common point where the </w:t>
      </w:r>
      <w:r w:rsidR="00E37E6B">
        <w:t>conditions are homogenous (i.e. temperature, pressure and purity are the same)</w:t>
      </w:r>
      <w:r w:rsidR="008C3971">
        <w:t xml:space="preserve"> may be considered the end of the </w:t>
      </w:r>
      <w:r w:rsidR="00080AC2">
        <w:t>production boundary</w:t>
      </w:r>
      <w:r w:rsidR="008C3971">
        <w:t xml:space="preserve">. Any processing steps to prepare the product that occur within the </w:t>
      </w:r>
      <w:r w:rsidR="00080AC2">
        <w:t>production boundary</w:t>
      </w:r>
      <w:r w:rsidR="00272AE2">
        <w:t xml:space="preserve"> will instead be included as part of the post-production boundary</w:t>
      </w:r>
      <w:r w:rsidR="00B96589">
        <w:t>. The alternative approach is to take the highest of the specifications, such as pressure, which is likely to over-estimate the emissions to the product.</w:t>
      </w:r>
    </w:p>
    <w:p w14:paraId="269458A4" w14:textId="62D1BFA9" w:rsidR="00163596" w:rsidRDefault="00163596" w:rsidP="00E07A46">
      <w:pPr>
        <w:pStyle w:val="Calloutbox"/>
        <w:keepNext/>
        <w:contextualSpacing w:val="0"/>
        <w:rPr>
          <w:b/>
          <w:bCs/>
        </w:rPr>
      </w:pPr>
      <w:r>
        <w:rPr>
          <w:b/>
          <w:bCs/>
        </w:rPr>
        <w:t>GO Calculator user guide</w:t>
      </w:r>
      <w:r w:rsidR="00E61169">
        <w:rPr>
          <w:b/>
          <w:bCs/>
        </w:rPr>
        <w:t xml:space="preserve"> </w:t>
      </w:r>
      <w:r w:rsidR="00B90725">
        <w:rPr>
          <w:b/>
          <w:bCs/>
        </w:rPr>
        <w:t>– “</w:t>
      </w:r>
      <w:r w:rsidR="00AD542F">
        <w:rPr>
          <w:b/>
          <w:bCs/>
        </w:rPr>
        <w:t>Facility Details</w:t>
      </w:r>
      <w:r w:rsidR="00B90725">
        <w:rPr>
          <w:b/>
          <w:bCs/>
        </w:rPr>
        <w:t>” tab</w:t>
      </w:r>
    </w:p>
    <w:p w14:paraId="03B0BA1A" w14:textId="45813D60" w:rsidR="002F52AE" w:rsidRDefault="00163596" w:rsidP="00E07A46">
      <w:pPr>
        <w:pStyle w:val="Calloutbox"/>
        <w:keepNext/>
        <w:contextualSpacing w:val="0"/>
      </w:pPr>
      <w:r>
        <w:t>The</w:t>
      </w:r>
      <w:r w:rsidR="00B90725">
        <w:t xml:space="preserve"> “</w:t>
      </w:r>
      <w:r w:rsidR="00AD542F">
        <w:t>Facility Details</w:t>
      </w:r>
      <w:r w:rsidR="00B90725">
        <w:t xml:space="preserve">” tab </w:t>
      </w:r>
      <w:r w:rsidR="00102A18">
        <w:t xml:space="preserve">requires users to input </w:t>
      </w:r>
      <w:r w:rsidR="00FB2373">
        <w:t xml:space="preserve">general product facility information to </w:t>
      </w:r>
      <w:r w:rsidR="004C4714">
        <w:t xml:space="preserve">help identify the </w:t>
      </w:r>
      <w:r w:rsidR="00E523DA">
        <w:t xml:space="preserve">production boundary. </w:t>
      </w:r>
      <w:r>
        <w:t xml:space="preserve"> </w:t>
      </w:r>
      <w:r w:rsidR="004C4714">
        <w:t xml:space="preserve">This tab is applicable to all </w:t>
      </w:r>
      <w:r w:rsidR="00E45B53">
        <w:t xml:space="preserve">production pathways </w:t>
      </w:r>
      <w:r w:rsidR="002F52AE">
        <w:t>and must be completed to ensure the subsequent tabs of the calculator function appropriately.</w:t>
      </w:r>
    </w:p>
    <w:p w14:paraId="768CC86F" w14:textId="372A2B3E" w:rsidR="007E44F5" w:rsidRPr="00EC3E91" w:rsidRDefault="00620D12" w:rsidP="00163596">
      <w:pPr>
        <w:pStyle w:val="Calloutbox"/>
        <w:keepNext/>
      </w:pPr>
      <w:r>
        <w:t>Users need to p</w:t>
      </w:r>
      <w:r w:rsidR="002F52AE">
        <w:t xml:space="preserve">rovide inputs into all fields on this tab </w:t>
      </w:r>
      <w:r w:rsidR="00671152">
        <w:t>including the product facility</w:t>
      </w:r>
      <w:r w:rsidR="008D0825">
        <w:t xml:space="preserve"> and </w:t>
      </w:r>
      <w:r w:rsidR="00D83BD4">
        <w:t xml:space="preserve">batch </w:t>
      </w:r>
      <w:r w:rsidR="00A57AAC">
        <w:t xml:space="preserve">period details, </w:t>
      </w:r>
      <w:r w:rsidR="008D0825">
        <w:t xml:space="preserve">as well as </w:t>
      </w:r>
      <w:r w:rsidR="004F3F0E">
        <w:t xml:space="preserve">carbon capture and storage information where applicable. </w:t>
      </w:r>
      <w:r w:rsidR="00F75464">
        <w:t xml:space="preserve">The measurement groupings are </w:t>
      </w:r>
      <w:r w:rsidR="00213994">
        <w:t xml:space="preserve">not </w:t>
      </w:r>
      <w:r w:rsidR="003C1C05">
        <w:t>in</w:t>
      </w:r>
      <w:r w:rsidR="0085411B">
        <w:t xml:space="preserve">cluded in </w:t>
      </w:r>
      <w:r w:rsidR="00F75464">
        <w:t>the GO Calculator</w:t>
      </w:r>
      <w:r w:rsidR="00AC5589">
        <w:t xml:space="preserve"> as they are not relevant to the calculations within.</w:t>
      </w:r>
    </w:p>
    <w:p w14:paraId="597923AD" w14:textId="77777777" w:rsidR="009B3B0C" w:rsidRDefault="009B3B0C" w:rsidP="00BB357C">
      <w:pPr>
        <w:pStyle w:val="Heading3"/>
        <w:spacing w:before="200"/>
      </w:pPr>
      <w:bookmarkStart w:id="123" w:name="_Ref131083080"/>
      <w:r>
        <w:t>Product facility</w:t>
      </w:r>
      <w:bookmarkEnd w:id="123"/>
    </w:p>
    <w:p w14:paraId="175A87F4" w14:textId="0C713CC8" w:rsidR="009B3B0C" w:rsidRPr="009B3B0C" w:rsidRDefault="009B3B0C" w:rsidP="009B3B0C">
      <w:pPr>
        <w:rPr>
          <w:iCs/>
        </w:rPr>
      </w:pPr>
      <w:r w:rsidRPr="009B3B0C">
        <w:rPr>
          <w:iCs/>
        </w:rPr>
        <w:t>The product facility definition will be based on the production pathway that is included in the product profile registration. Registering under a production pathway will require nominated persons to demonstrate that their product facility meets the eligibility requirements of that pathway. These eligibility requirements will be based on ensuring the types of technology or equipment installed at the site that are capable of producing the registered product in accord with the production pathway.</w:t>
      </w:r>
    </w:p>
    <w:p w14:paraId="071E68E5" w14:textId="52C0BE9D" w:rsidR="009B3B0C" w:rsidRPr="009B3B0C" w:rsidRDefault="009B3B0C" w:rsidP="009B3B0C">
      <w:pPr>
        <w:rPr>
          <w:iCs/>
        </w:rPr>
      </w:pPr>
      <w:r w:rsidRPr="009B3B0C">
        <w:rPr>
          <w:iCs/>
        </w:rPr>
        <w:t xml:space="preserve">These requirements are articulated through the use of modules, which are emissions-generating process steps for a specified production pathway. The list of required modules </w:t>
      </w:r>
      <w:r w:rsidR="00F11902">
        <w:rPr>
          <w:iCs/>
        </w:rPr>
        <w:t xml:space="preserve">for each production pathway </w:t>
      </w:r>
      <w:r w:rsidRPr="009B3B0C">
        <w:rPr>
          <w:iCs/>
        </w:rPr>
        <w:t xml:space="preserve">defines </w:t>
      </w:r>
      <w:r w:rsidR="004A3AC3">
        <w:rPr>
          <w:iCs/>
        </w:rPr>
        <w:t xml:space="preserve">minimum </w:t>
      </w:r>
      <w:r w:rsidRPr="009B3B0C">
        <w:rPr>
          <w:iCs/>
        </w:rPr>
        <w:t>eligibility requirements</w:t>
      </w:r>
      <w:r w:rsidR="004A3AC3">
        <w:rPr>
          <w:iCs/>
        </w:rPr>
        <w:t>. H</w:t>
      </w:r>
      <w:r w:rsidR="00E411E9">
        <w:rPr>
          <w:iCs/>
        </w:rPr>
        <w:t>owever</w:t>
      </w:r>
      <w:r w:rsidR="00686F23">
        <w:rPr>
          <w:iCs/>
        </w:rPr>
        <w:t>,</w:t>
      </w:r>
      <w:r w:rsidR="00E411E9">
        <w:rPr>
          <w:iCs/>
        </w:rPr>
        <w:t xml:space="preserve"> it is not </w:t>
      </w:r>
      <w:r w:rsidR="00874264">
        <w:rPr>
          <w:iCs/>
        </w:rPr>
        <w:t>all encompassing as there may be</w:t>
      </w:r>
      <w:r w:rsidRPr="009B3B0C">
        <w:rPr>
          <w:iCs/>
        </w:rPr>
        <w:t xml:space="preserve"> conditionally relevant modules which must be included where appropriate</w:t>
      </w:r>
      <w:r w:rsidR="00F65271">
        <w:rPr>
          <w:iCs/>
        </w:rPr>
        <w:t xml:space="preserve">. </w:t>
      </w:r>
    </w:p>
    <w:p w14:paraId="34AAD715" w14:textId="77777777" w:rsidR="009B3B0C" w:rsidRPr="009B3B0C" w:rsidRDefault="009B3B0C" w:rsidP="009B3B0C">
      <w:pPr>
        <w:rPr>
          <w:iCs/>
        </w:rPr>
      </w:pPr>
      <w:r w:rsidRPr="009B3B0C">
        <w:rPr>
          <w:iCs/>
        </w:rPr>
        <w:t>To ensure that the reported emissions between different facilities under the same production pathway are comparable, all product facilities under a production pathway must monitor and report emissions from the modules as specified in this section. The emissions arising from the specified modules for a given production pathway in effect define the system boundary for each product facility under that production pathway.</w:t>
      </w:r>
    </w:p>
    <w:p w14:paraId="5B21C140" w14:textId="77777777" w:rsidR="00EB5828" w:rsidRPr="00E378CF" w:rsidRDefault="009B3B0C" w:rsidP="009B3B0C">
      <w:r>
        <w:t xml:space="preserve">In the future as the GO scheme is expanded to cover new products and production pathways, product facilities </w:t>
      </w:r>
      <w:r w:rsidR="00F65271">
        <w:t>and modules</w:t>
      </w:r>
      <w:r>
        <w:t xml:space="preserve"> will </w:t>
      </w:r>
      <w:r w:rsidR="006806B4">
        <w:t>be added to this list</w:t>
      </w:r>
      <w:r>
        <w:t>. This would include identifying the minimum required modules that set the eligibility for each production pathway and the emissions sources within these modules. There may also be a need to identify co-products and shared processes within these modules.</w:t>
      </w:r>
    </w:p>
    <w:p w14:paraId="4CC95F20" w14:textId="029F4003" w:rsidR="009B3B0C" w:rsidRPr="00F60A58" w:rsidRDefault="009B3B0C" w:rsidP="009B3B0C">
      <w:r>
        <w:t xml:space="preserve">The three eligible hydrogen production pathways covered </w:t>
      </w:r>
      <w:r w:rsidR="00093C41">
        <w:t xml:space="preserve">initially </w:t>
      </w:r>
      <w:r>
        <w:t xml:space="preserve">under the GO scheme are </w:t>
      </w:r>
      <w:r w:rsidRPr="007437D7">
        <w:t>electrolysis, steam methane reformation, and coal gasification</w:t>
      </w:r>
      <w:r>
        <w:t xml:space="preserve">. </w:t>
      </w:r>
      <w:r w:rsidR="00D05BA1">
        <w:t xml:space="preserve">The below tables outline the </w:t>
      </w:r>
      <w:r w:rsidR="00DD650E">
        <w:t xml:space="preserve">relevant </w:t>
      </w:r>
      <w:r>
        <w:t>modules</w:t>
      </w:r>
      <w:r w:rsidR="00FF26B1">
        <w:t xml:space="preserve">. </w:t>
      </w:r>
    </w:p>
    <w:p w14:paraId="64532397" w14:textId="2AF20299" w:rsidR="009B3B0C" w:rsidRDefault="00921128" w:rsidP="00621A7C">
      <w:pPr>
        <w:pStyle w:val="Table"/>
        <w:keepNext/>
        <w:spacing w:before="200"/>
      </w:pPr>
      <w:r>
        <w:t>Table 1.1</w:t>
      </w:r>
      <w:r w:rsidR="009B3B0C" w:rsidRPr="008140F7">
        <w:t xml:space="preserve"> Minimum modules and sources required for </w:t>
      </w:r>
      <w:r w:rsidR="009B3B0C">
        <w:t>product facilities</w:t>
      </w:r>
      <w:r w:rsidR="474785D1">
        <w:t>.</w:t>
      </w:r>
    </w:p>
    <w:tbl>
      <w:tblPr>
        <w:tblStyle w:val="PlainTable1"/>
        <w:tblW w:w="5000" w:type="pct"/>
        <w:tblLook w:val="04A0" w:firstRow="1" w:lastRow="0" w:firstColumn="1" w:lastColumn="0" w:noHBand="0" w:noVBand="1"/>
      </w:tblPr>
      <w:tblGrid>
        <w:gridCol w:w="4815"/>
        <w:gridCol w:w="4201"/>
      </w:tblGrid>
      <w:tr w:rsidR="009B3B0C" w:rsidRPr="004D10D4" w14:paraId="410989DE" w14:textId="77777777" w:rsidTr="002835F2">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670" w:type="pct"/>
            <w:shd w:val="clear" w:color="auto" w:fill="AEAAAA" w:themeFill="background2" w:themeFillShade="BF"/>
            <w:vAlign w:val="center"/>
          </w:tcPr>
          <w:p w14:paraId="6489574E" w14:textId="77777777" w:rsidR="009B3B0C" w:rsidRPr="004D10D4" w:rsidRDefault="009B3B0C" w:rsidP="00900DD1">
            <w:r w:rsidRPr="004D10D4">
              <w:t>Module</w:t>
            </w:r>
          </w:p>
        </w:tc>
        <w:tc>
          <w:tcPr>
            <w:tcW w:w="2330" w:type="pct"/>
            <w:shd w:val="clear" w:color="auto" w:fill="AEAAAA" w:themeFill="background2" w:themeFillShade="BF"/>
            <w:vAlign w:val="center"/>
          </w:tcPr>
          <w:p w14:paraId="03E74A6B" w14:textId="77777777" w:rsidR="009B3B0C" w:rsidRPr="004D10D4" w:rsidRDefault="009B3B0C" w:rsidP="00900DD1">
            <w:pPr>
              <w:cnfStyle w:val="100000000000" w:firstRow="1" w:lastRow="0" w:firstColumn="0" w:lastColumn="0" w:oddVBand="0" w:evenVBand="0" w:oddHBand="0" w:evenHBand="0" w:firstRowFirstColumn="0" w:firstRowLastColumn="0" w:lastRowFirstColumn="0" w:lastRowLastColumn="0"/>
            </w:pPr>
            <w:r w:rsidRPr="004D10D4">
              <w:t>Emission sources</w:t>
            </w:r>
          </w:p>
        </w:tc>
      </w:tr>
      <w:tr w:rsidR="00ED3B4D" w14:paraId="75E41101" w14:textId="77777777" w:rsidTr="00E07A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0CECE" w:themeFill="background2" w:themeFillShade="E6"/>
          </w:tcPr>
          <w:p w14:paraId="29EE2A87" w14:textId="5A2410FF" w:rsidR="00ED3B4D" w:rsidRPr="00ED3B4D" w:rsidRDefault="00ED3B4D" w:rsidP="00ED3B4D">
            <w:r w:rsidRPr="002E4C65">
              <w:rPr>
                <w:i/>
                <w:iCs/>
              </w:rPr>
              <w:t>Electrolysis product facility</w:t>
            </w:r>
          </w:p>
        </w:tc>
      </w:tr>
      <w:tr w:rsidR="009B3B0C" w14:paraId="49C4488C" w14:textId="77777777" w:rsidTr="002835F2">
        <w:trPr>
          <w:cantSplit/>
        </w:trPr>
        <w:tc>
          <w:tcPr>
            <w:cnfStyle w:val="001000000000" w:firstRow="0" w:lastRow="0" w:firstColumn="1" w:lastColumn="0" w:oddVBand="0" w:evenVBand="0" w:oddHBand="0" w:evenHBand="0" w:firstRowFirstColumn="0" w:firstRowLastColumn="0" w:lastRowFirstColumn="0" w:lastRowLastColumn="0"/>
            <w:tcW w:w="2670" w:type="pct"/>
          </w:tcPr>
          <w:p w14:paraId="79C4502A" w14:textId="77777777" w:rsidR="009B3B0C" w:rsidRDefault="009B3B0C">
            <w:r>
              <w:t>Electrolysis specific water treatment</w:t>
            </w:r>
          </w:p>
        </w:tc>
        <w:tc>
          <w:tcPr>
            <w:tcW w:w="2330" w:type="pct"/>
          </w:tcPr>
          <w:p w14:paraId="7B444667" w14:textId="77777777" w:rsidR="009B3B0C" w:rsidRDefault="009B3B0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Electricity,</w:t>
            </w:r>
          </w:p>
          <w:p w14:paraId="054DD409" w14:textId="77777777" w:rsidR="009B3B0C" w:rsidRDefault="009B3B0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Chemicals,</w:t>
            </w:r>
          </w:p>
          <w:p w14:paraId="15CBFF11" w14:textId="77777777" w:rsidR="009B3B0C" w:rsidRDefault="009B3B0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Fuel,</w:t>
            </w:r>
          </w:p>
          <w:p w14:paraId="4E04DF94" w14:textId="77777777" w:rsidR="009B3B0C" w:rsidRDefault="009B3B0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 xml:space="preserve">Water, </w:t>
            </w:r>
          </w:p>
          <w:p w14:paraId="2C0217A5" w14:textId="77777777" w:rsidR="009B3B0C" w:rsidRDefault="009B3B0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Water based fugitive emissions.</w:t>
            </w:r>
          </w:p>
        </w:tc>
      </w:tr>
      <w:tr w:rsidR="009B3B0C" w14:paraId="1779447B" w14:textId="77777777" w:rsidTr="002835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pct"/>
          </w:tcPr>
          <w:p w14:paraId="0A200BEA" w14:textId="77777777" w:rsidR="009B3B0C" w:rsidRDefault="009B3B0C">
            <w:pPr>
              <w:ind w:left="360" w:hanging="360"/>
            </w:pPr>
            <w:r>
              <w:t>Electrolyser operation</w:t>
            </w:r>
          </w:p>
          <w:p w14:paraId="0A75B673" w14:textId="77777777" w:rsidR="009B3B0C" w:rsidRDefault="009B3B0C">
            <w:pPr>
              <w:ind w:left="360" w:hanging="360"/>
            </w:pPr>
            <w:r>
              <w:t>(Including electricity supply equipment)</w:t>
            </w:r>
          </w:p>
        </w:tc>
        <w:tc>
          <w:tcPr>
            <w:tcW w:w="2330" w:type="pct"/>
          </w:tcPr>
          <w:p w14:paraId="60E51438"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Electricity,</w:t>
            </w:r>
          </w:p>
          <w:p w14:paraId="4F459C42"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Water,</w:t>
            </w:r>
          </w:p>
          <w:p w14:paraId="3C8869BE"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Fuel,</w:t>
            </w:r>
          </w:p>
          <w:p w14:paraId="584D68BA"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Steam.</w:t>
            </w:r>
          </w:p>
        </w:tc>
      </w:tr>
      <w:tr w:rsidR="009B3B0C" w14:paraId="5A577FA5" w14:textId="77777777" w:rsidTr="002835F2">
        <w:trPr>
          <w:cantSplit/>
        </w:trPr>
        <w:tc>
          <w:tcPr>
            <w:cnfStyle w:val="001000000000" w:firstRow="0" w:lastRow="0" w:firstColumn="1" w:lastColumn="0" w:oddVBand="0" w:evenVBand="0" w:oddHBand="0" w:evenHBand="0" w:firstRowFirstColumn="0" w:firstRowLastColumn="0" w:lastRowFirstColumn="0" w:lastRowLastColumn="0"/>
            <w:tcW w:w="2670" w:type="pct"/>
          </w:tcPr>
          <w:p w14:paraId="2244F1F6" w14:textId="77777777" w:rsidR="009B3B0C" w:rsidRDefault="009B3B0C">
            <w:r>
              <w:t>Drying &amp; purification</w:t>
            </w:r>
          </w:p>
        </w:tc>
        <w:tc>
          <w:tcPr>
            <w:tcW w:w="2330" w:type="pct"/>
          </w:tcPr>
          <w:p w14:paraId="4A032496"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Electricity,</w:t>
            </w:r>
          </w:p>
          <w:p w14:paraId="759F6D80"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Chemicals,</w:t>
            </w:r>
          </w:p>
          <w:p w14:paraId="0038ADA2"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Fuel,</w:t>
            </w:r>
          </w:p>
          <w:p w14:paraId="1969C325"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Steam, </w:t>
            </w:r>
          </w:p>
          <w:p w14:paraId="09702B21"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Coolant leaks.</w:t>
            </w:r>
          </w:p>
        </w:tc>
      </w:tr>
      <w:tr w:rsidR="009B3B0C" w14:paraId="1D8334D0" w14:textId="77777777" w:rsidTr="002835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pct"/>
          </w:tcPr>
          <w:p w14:paraId="69C8BB20" w14:textId="77777777" w:rsidR="009B3B0C" w:rsidRDefault="009B3B0C">
            <w:r>
              <w:t>Compression</w:t>
            </w:r>
          </w:p>
        </w:tc>
        <w:tc>
          <w:tcPr>
            <w:tcW w:w="2330" w:type="pct"/>
          </w:tcPr>
          <w:p w14:paraId="54BFA0D4"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Electricity,</w:t>
            </w:r>
          </w:p>
          <w:p w14:paraId="5689B590"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Fuel,</w:t>
            </w:r>
          </w:p>
          <w:p w14:paraId="7C073943"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 xml:space="preserve">Coolant leaks. </w:t>
            </w:r>
          </w:p>
        </w:tc>
      </w:tr>
      <w:tr w:rsidR="00ED3B4D" w14:paraId="19EEB525" w14:textId="77777777" w:rsidTr="00E07A46">
        <w:trPr>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0CECE" w:themeFill="background2" w:themeFillShade="E6"/>
          </w:tcPr>
          <w:p w14:paraId="61A9C82D" w14:textId="7AD52F61" w:rsidR="00ED3B4D" w:rsidRPr="00ED3B4D" w:rsidRDefault="00ED3B4D">
            <w:r>
              <w:rPr>
                <w:i/>
                <w:iCs/>
              </w:rPr>
              <w:t>Steam methane reformation</w:t>
            </w:r>
            <w:r w:rsidRPr="002E4C65">
              <w:rPr>
                <w:i/>
                <w:iCs/>
              </w:rPr>
              <w:t xml:space="preserve"> product facility</w:t>
            </w:r>
          </w:p>
        </w:tc>
      </w:tr>
      <w:tr w:rsidR="009B3B0C" w14:paraId="69A6911D" w14:textId="77777777" w:rsidTr="002835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pct"/>
          </w:tcPr>
          <w:p w14:paraId="1B5ED8AF" w14:textId="77777777" w:rsidR="009B3B0C" w:rsidRDefault="009B3B0C">
            <w:r>
              <w:t>Sulphur removal</w:t>
            </w:r>
          </w:p>
        </w:tc>
        <w:tc>
          <w:tcPr>
            <w:tcW w:w="2330" w:type="pct"/>
          </w:tcPr>
          <w:p w14:paraId="20AB7F47" w14:textId="77777777" w:rsidR="009B3B0C" w:rsidRDefault="009B3B0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 xml:space="preserve">Electricity, </w:t>
            </w:r>
          </w:p>
          <w:p w14:paraId="6E3E8821" w14:textId="77777777" w:rsidR="009B3B0C" w:rsidRDefault="009B3B0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 xml:space="preserve">Fuel, </w:t>
            </w:r>
          </w:p>
          <w:p w14:paraId="6FF942CF" w14:textId="77777777" w:rsidR="009B3B0C" w:rsidRDefault="009B3B0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 xml:space="preserve">Steam, </w:t>
            </w:r>
          </w:p>
          <w:p w14:paraId="488503E6" w14:textId="77777777" w:rsidR="009B3B0C" w:rsidRDefault="009B3B0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 xml:space="preserve">Chemicals, </w:t>
            </w:r>
          </w:p>
          <w:p w14:paraId="31F35C68" w14:textId="77777777" w:rsidR="009B3B0C" w:rsidRDefault="009B3B0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 xml:space="preserve">Water, </w:t>
            </w:r>
          </w:p>
          <w:p w14:paraId="602CD10E" w14:textId="77777777" w:rsidR="009B3B0C" w:rsidRDefault="009B3B0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Fugitive emissions,</w:t>
            </w:r>
          </w:p>
          <w:p w14:paraId="325CE6AB" w14:textId="77777777" w:rsidR="009B3B0C" w:rsidRDefault="009B3B0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Treatment emissions.</w:t>
            </w:r>
          </w:p>
        </w:tc>
      </w:tr>
      <w:tr w:rsidR="009B3B0C" w14:paraId="6B5A128B" w14:textId="77777777" w:rsidTr="002835F2">
        <w:trPr>
          <w:cantSplit/>
        </w:trPr>
        <w:tc>
          <w:tcPr>
            <w:cnfStyle w:val="001000000000" w:firstRow="0" w:lastRow="0" w:firstColumn="1" w:lastColumn="0" w:oddVBand="0" w:evenVBand="0" w:oddHBand="0" w:evenHBand="0" w:firstRowFirstColumn="0" w:firstRowLastColumn="0" w:lastRowFirstColumn="0" w:lastRowLastColumn="0"/>
            <w:tcW w:w="2670" w:type="pct"/>
          </w:tcPr>
          <w:p w14:paraId="3619F57B" w14:textId="77777777" w:rsidR="009B3B0C" w:rsidRDefault="009B3B0C">
            <w:r>
              <w:t>Core steam methane reformer units:</w:t>
            </w:r>
          </w:p>
          <w:p w14:paraId="1CEB3166" w14:textId="77777777" w:rsidR="009B3B0C" w:rsidRDefault="009B3B0C">
            <w:pPr>
              <w:pStyle w:val="ListParagraph"/>
              <w:numPr>
                <w:ilvl w:val="0"/>
                <w:numId w:val="5"/>
              </w:numPr>
            </w:pPr>
            <w:r>
              <w:t>Gas heating,</w:t>
            </w:r>
          </w:p>
          <w:p w14:paraId="05D2D500" w14:textId="77777777" w:rsidR="009B3B0C" w:rsidRDefault="009B3B0C">
            <w:pPr>
              <w:pStyle w:val="ListParagraph"/>
              <w:numPr>
                <w:ilvl w:val="0"/>
                <w:numId w:val="5"/>
              </w:numPr>
            </w:pPr>
            <w:r>
              <w:t>Pressurization,</w:t>
            </w:r>
          </w:p>
          <w:p w14:paraId="0442044C" w14:textId="77777777" w:rsidR="009B3B0C" w:rsidRDefault="009B3B0C">
            <w:pPr>
              <w:pStyle w:val="ListParagraph"/>
              <w:numPr>
                <w:ilvl w:val="0"/>
                <w:numId w:val="5"/>
              </w:numPr>
            </w:pPr>
            <w:r>
              <w:t>waste heat recovery,</w:t>
            </w:r>
          </w:p>
          <w:p w14:paraId="73AB79EC" w14:textId="77777777" w:rsidR="009B3B0C" w:rsidRDefault="009B3B0C">
            <w:pPr>
              <w:pStyle w:val="ListParagraph"/>
              <w:numPr>
                <w:ilvl w:val="0"/>
                <w:numId w:val="5"/>
              </w:numPr>
            </w:pPr>
            <w:r>
              <w:t>HT shift reactor</w:t>
            </w:r>
          </w:p>
        </w:tc>
        <w:tc>
          <w:tcPr>
            <w:tcW w:w="2330" w:type="pct"/>
          </w:tcPr>
          <w:p w14:paraId="14715A48"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Electricity,</w:t>
            </w:r>
          </w:p>
          <w:p w14:paraId="5BA14642" w14:textId="0910600D"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Fuel,</w:t>
            </w:r>
          </w:p>
          <w:p w14:paraId="55114477" w14:textId="5F8DD9C1" w:rsidR="009B3B0C" w:rsidRDefault="00873B4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M</w:t>
            </w:r>
            <w:r w:rsidR="00350F49">
              <w:t>ethane</w:t>
            </w:r>
            <w:r w:rsidR="009B3B0C">
              <w:t xml:space="preserve"> (as </w:t>
            </w:r>
            <w:r w:rsidR="00F1250B">
              <w:t>feedstock</w:t>
            </w:r>
            <w:r w:rsidR="009B3B0C">
              <w:t>),</w:t>
            </w:r>
          </w:p>
          <w:p w14:paraId="127C780D"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Steam,</w:t>
            </w:r>
          </w:p>
          <w:p w14:paraId="4C165700"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Fugitive emissions,</w:t>
            </w:r>
          </w:p>
          <w:p w14:paraId="10147165"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Water.</w:t>
            </w:r>
          </w:p>
        </w:tc>
      </w:tr>
      <w:tr w:rsidR="009B3B0C" w14:paraId="64FF7FA1" w14:textId="77777777" w:rsidTr="002835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pct"/>
          </w:tcPr>
          <w:p w14:paraId="7986601E" w14:textId="77777777" w:rsidR="009B3B0C" w:rsidRDefault="009B3B0C">
            <w:r>
              <w:t>Hydrogen purification</w:t>
            </w:r>
          </w:p>
        </w:tc>
        <w:tc>
          <w:tcPr>
            <w:tcW w:w="2330" w:type="pct"/>
          </w:tcPr>
          <w:p w14:paraId="33226865"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Electricity,</w:t>
            </w:r>
          </w:p>
          <w:p w14:paraId="4A0BAA28"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Water,</w:t>
            </w:r>
          </w:p>
          <w:p w14:paraId="3C8B949A"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Fuel,</w:t>
            </w:r>
          </w:p>
          <w:p w14:paraId="51D0AA24"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Chemicals,</w:t>
            </w:r>
          </w:p>
          <w:p w14:paraId="4D1C0AE2"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Steam,</w:t>
            </w:r>
          </w:p>
          <w:p w14:paraId="47DA57D8"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Fugitive emissions,</w:t>
            </w:r>
          </w:p>
          <w:p w14:paraId="1E68C7D9"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Supplementary processing emissions.</w:t>
            </w:r>
          </w:p>
        </w:tc>
      </w:tr>
      <w:tr w:rsidR="009B3B0C" w14:paraId="7D0F1561" w14:textId="77777777" w:rsidTr="002835F2">
        <w:trPr>
          <w:cantSplit/>
        </w:trPr>
        <w:tc>
          <w:tcPr>
            <w:cnfStyle w:val="001000000000" w:firstRow="0" w:lastRow="0" w:firstColumn="1" w:lastColumn="0" w:oddVBand="0" w:evenVBand="0" w:oddHBand="0" w:evenHBand="0" w:firstRowFirstColumn="0" w:firstRowLastColumn="0" w:lastRowFirstColumn="0" w:lastRowLastColumn="0"/>
            <w:tcW w:w="2670" w:type="pct"/>
          </w:tcPr>
          <w:p w14:paraId="38D0251F" w14:textId="77777777" w:rsidR="009B3B0C" w:rsidRDefault="009B3B0C">
            <w:r>
              <w:t>Compression</w:t>
            </w:r>
          </w:p>
        </w:tc>
        <w:tc>
          <w:tcPr>
            <w:tcW w:w="2330" w:type="pct"/>
          </w:tcPr>
          <w:p w14:paraId="242CE3BD"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Electricity,</w:t>
            </w:r>
          </w:p>
          <w:p w14:paraId="69299C74"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Coolant leaks,</w:t>
            </w:r>
          </w:p>
          <w:p w14:paraId="7C640353"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Fugitive emissions,</w:t>
            </w:r>
          </w:p>
          <w:p w14:paraId="23E08AA7"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Fuel.</w:t>
            </w:r>
          </w:p>
        </w:tc>
      </w:tr>
      <w:tr w:rsidR="009B3B0C" w14:paraId="112162E9" w14:textId="77777777" w:rsidTr="002835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pct"/>
          </w:tcPr>
          <w:p w14:paraId="46B42B57" w14:textId="41C9E423" w:rsidR="009B3B0C" w:rsidRDefault="009B3B0C">
            <w:r>
              <w:t xml:space="preserve">Carbon Capture </w:t>
            </w:r>
            <w:r w:rsidR="008D07DE">
              <w:t xml:space="preserve">Transport </w:t>
            </w:r>
            <w:r>
              <w:t>and Storage</w:t>
            </w:r>
          </w:p>
        </w:tc>
        <w:tc>
          <w:tcPr>
            <w:tcW w:w="2330" w:type="pct"/>
          </w:tcPr>
          <w:p w14:paraId="08EF8140"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Electricity,</w:t>
            </w:r>
          </w:p>
          <w:p w14:paraId="673E2327"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Coolant leaks,</w:t>
            </w:r>
          </w:p>
          <w:p w14:paraId="55D78421"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Fugitive emissions (during processing),</w:t>
            </w:r>
          </w:p>
          <w:p w14:paraId="47F4D495"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Fuel,</w:t>
            </w:r>
          </w:p>
          <w:p w14:paraId="67CA38F9" w14:textId="5CAEE234" w:rsidR="00387F91"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Transport</w:t>
            </w:r>
            <w:r w:rsidR="001539C3">
              <w:t xml:space="preserve"> (</w:t>
            </w:r>
            <w:r w:rsidR="006B57B3">
              <w:t xml:space="preserve">leakage, </w:t>
            </w:r>
            <w:r w:rsidR="001539C3">
              <w:t>vehicle emissions</w:t>
            </w:r>
            <w:r w:rsidR="00760734">
              <w:t xml:space="preserve">, </w:t>
            </w:r>
            <w:r w:rsidR="009241DB">
              <w:t>booster pumps</w:t>
            </w:r>
            <w:r w:rsidR="00F83D9F">
              <w:t xml:space="preserve"> in pipeline</w:t>
            </w:r>
            <w:r w:rsidR="003A5312">
              <w:t>s</w:t>
            </w:r>
            <w:r w:rsidR="00F83D9F">
              <w:t>)</w:t>
            </w:r>
            <w:r w:rsidR="00387F91">
              <w:t>,</w:t>
            </w:r>
          </w:p>
          <w:p w14:paraId="521059EF" w14:textId="36E88799" w:rsidR="00226BA8" w:rsidRDefault="00226BA8">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Electricity for pumps at injection</w:t>
            </w:r>
            <w:r w:rsidR="00C269A6">
              <w:t xml:space="preserve"> site</w:t>
            </w:r>
            <w:r w:rsidR="00EB5240">
              <w:t>,</w:t>
            </w:r>
          </w:p>
          <w:p w14:paraId="168C35DE" w14:textId="19715406" w:rsidR="009B3B0C" w:rsidRDefault="004949B1">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Leaks at injection well head</w:t>
            </w:r>
            <w:r w:rsidR="009B3B0C">
              <w:t>.</w:t>
            </w:r>
          </w:p>
        </w:tc>
      </w:tr>
      <w:tr w:rsidR="00ED3B4D" w14:paraId="12B6E1B7" w14:textId="77777777" w:rsidTr="00E07A46">
        <w:trPr>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0CECE" w:themeFill="background2" w:themeFillShade="E6"/>
          </w:tcPr>
          <w:p w14:paraId="5F878F40" w14:textId="1EF43C0C" w:rsidR="00ED3B4D" w:rsidRPr="00ED3B4D" w:rsidRDefault="00ED3B4D">
            <w:r>
              <w:rPr>
                <w:i/>
                <w:iCs/>
              </w:rPr>
              <w:t>Coal ga</w:t>
            </w:r>
            <w:r w:rsidR="00731966">
              <w:rPr>
                <w:i/>
                <w:iCs/>
              </w:rPr>
              <w:t xml:space="preserve">sification </w:t>
            </w:r>
            <w:r w:rsidRPr="002E4C65">
              <w:rPr>
                <w:i/>
                <w:iCs/>
              </w:rPr>
              <w:t>product facility</w:t>
            </w:r>
          </w:p>
        </w:tc>
      </w:tr>
      <w:tr w:rsidR="009B3B0C" w14:paraId="1FB401BC" w14:textId="77777777" w:rsidTr="002835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pct"/>
          </w:tcPr>
          <w:p w14:paraId="552DEEBB" w14:textId="0DE339C5" w:rsidR="009B3B0C" w:rsidRDefault="009B3B0C">
            <w:r>
              <w:t>Coal processing</w:t>
            </w:r>
            <w:r w:rsidR="00FA39C9">
              <w:t xml:space="preserve"> (</w:t>
            </w:r>
            <w:r w:rsidR="00BD3713">
              <w:t xml:space="preserve">including </w:t>
            </w:r>
            <w:r w:rsidR="008D4720">
              <w:t>washing and drying</w:t>
            </w:r>
            <w:r w:rsidR="0007677E">
              <w:t>)</w:t>
            </w:r>
          </w:p>
        </w:tc>
        <w:tc>
          <w:tcPr>
            <w:tcW w:w="2330" w:type="pct"/>
          </w:tcPr>
          <w:p w14:paraId="5E2C717F" w14:textId="77777777" w:rsidR="009B3B0C" w:rsidRDefault="009B3B0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 xml:space="preserve">Electricity, </w:t>
            </w:r>
          </w:p>
          <w:p w14:paraId="6A0AEEC0" w14:textId="77777777" w:rsidR="009B3B0C" w:rsidRDefault="009B3B0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Fuel,</w:t>
            </w:r>
          </w:p>
          <w:p w14:paraId="40761EE1" w14:textId="77777777" w:rsidR="009B3B0C" w:rsidRDefault="009B3B0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Fugitive emissions,</w:t>
            </w:r>
          </w:p>
          <w:p w14:paraId="0E8B837F" w14:textId="77777777" w:rsidR="009B3B0C" w:rsidRDefault="009B3B0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Chemicals,</w:t>
            </w:r>
          </w:p>
          <w:p w14:paraId="194045E1" w14:textId="77777777" w:rsidR="009B3B0C" w:rsidRDefault="009B3B0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Water.</w:t>
            </w:r>
          </w:p>
        </w:tc>
      </w:tr>
      <w:tr w:rsidR="009B3B0C" w14:paraId="5D0ABE63" w14:textId="77777777" w:rsidTr="002835F2">
        <w:trPr>
          <w:cantSplit/>
        </w:trPr>
        <w:tc>
          <w:tcPr>
            <w:cnfStyle w:val="001000000000" w:firstRow="0" w:lastRow="0" w:firstColumn="1" w:lastColumn="0" w:oddVBand="0" w:evenVBand="0" w:oddHBand="0" w:evenHBand="0" w:firstRowFirstColumn="0" w:firstRowLastColumn="0" w:lastRowFirstColumn="0" w:lastRowLastColumn="0"/>
            <w:tcW w:w="2670" w:type="pct"/>
          </w:tcPr>
          <w:p w14:paraId="57B33E32" w14:textId="77777777" w:rsidR="009B3B0C" w:rsidRDefault="009B3B0C">
            <w:pPr>
              <w:ind w:left="360" w:hanging="360"/>
            </w:pPr>
            <w:r>
              <w:t>Air separation unit</w:t>
            </w:r>
          </w:p>
        </w:tc>
        <w:tc>
          <w:tcPr>
            <w:tcW w:w="2330" w:type="pct"/>
          </w:tcPr>
          <w:p w14:paraId="1265E726"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Electricity,</w:t>
            </w:r>
          </w:p>
          <w:p w14:paraId="6A614E41"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Fuel,</w:t>
            </w:r>
          </w:p>
          <w:p w14:paraId="32040F52"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Fugitive emissions,</w:t>
            </w:r>
          </w:p>
          <w:p w14:paraId="60CC925B"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Chemicals,</w:t>
            </w:r>
          </w:p>
          <w:p w14:paraId="23179789"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Water,</w:t>
            </w:r>
          </w:p>
          <w:p w14:paraId="5B1D1A84"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Coolant leaks.</w:t>
            </w:r>
          </w:p>
        </w:tc>
      </w:tr>
      <w:tr w:rsidR="009B3B0C" w14:paraId="29034270" w14:textId="77777777" w:rsidTr="002835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pct"/>
          </w:tcPr>
          <w:p w14:paraId="0036C52B" w14:textId="77777777" w:rsidR="009B3B0C" w:rsidRDefault="009B3B0C">
            <w:r>
              <w:t>Core gasification units:</w:t>
            </w:r>
          </w:p>
          <w:p w14:paraId="5036B6FF" w14:textId="77777777" w:rsidR="009B3B0C" w:rsidRDefault="009B3B0C">
            <w:pPr>
              <w:pStyle w:val="ListParagraph"/>
              <w:numPr>
                <w:ilvl w:val="0"/>
                <w:numId w:val="5"/>
              </w:numPr>
            </w:pPr>
            <w:r>
              <w:t>Gasification unit,</w:t>
            </w:r>
          </w:p>
          <w:p w14:paraId="5E172D34" w14:textId="77777777" w:rsidR="009B3B0C" w:rsidRDefault="009B3B0C">
            <w:pPr>
              <w:pStyle w:val="ListParagraph"/>
              <w:numPr>
                <w:ilvl w:val="0"/>
                <w:numId w:val="5"/>
              </w:numPr>
            </w:pPr>
            <w:r>
              <w:t>Gas particulate filtration and cyclones,</w:t>
            </w:r>
          </w:p>
          <w:p w14:paraId="3A2E0094" w14:textId="77777777" w:rsidR="009B3B0C" w:rsidRDefault="009B3B0C">
            <w:pPr>
              <w:pStyle w:val="ListParagraph"/>
              <w:numPr>
                <w:ilvl w:val="0"/>
                <w:numId w:val="5"/>
              </w:numPr>
            </w:pPr>
            <w:r>
              <w:t>Syngas cooling systems</w:t>
            </w:r>
          </w:p>
        </w:tc>
        <w:tc>
          <w:tcPr>
            <w:tcW w:w="2330" w:type="pct"/>
          </w:tcPr>
          <w:p w14:paraId="11D8FBB2"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Electricity,</w:t>
            </w:r>
          </w:p>
          <w:p w14:paraId="4C3C8B8B"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Fuel (heat/power),</w:t>
            </w:r>
          </w:p>
          <w:p w14:paraId="49C22FF5" w14:textId="30AF97EF" w:rsidR="009B3B0C" w:rsidRDefault="00C00EE3">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 xml:space="preserve">Coal </w:t>
            </w:r>
            <w:r w:rsidR="009B3B0C">
              <w:t>(</w:t>
            </w:r>
            <w:r w:rsidR="00325E11">
              <w:t>as feedstock</w:t>
            </w:r>
            <w:r w:rsidR="009B3B0C">
              <w:t>),</w:t>
            </w:r>
          </w:p>
          <w:p w14:paraId="39B6A963"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Fugitive emissions,</w:t>
            </w:r>
          </w:p>
          <w:p w14:paraId="2F8D1D92"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Water,</w:t>
            </w:r>
          </w:p>
          <w:p w14:paraId="53B44560"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Steam.</w:t>
            </w:r>
          </w:p>
        </w:tc>
      </w:tr>
      <w:tr w:rsidR="009B3B0C" w14:paraId="4730474C" w14:textId="77777777" w:rsidTr="002835F2">
        <w:trPr>
          <w:cantSplit/>
        </w:trPr>
        <w:tc>
          <w:tcPr>
            <w:cnfStyle w:val="001000000000" w:firstRow="0" w:lastRow="0" w:firstColumn="1" w:lastColumn="0" w:oddVBand="0" w:evenVBand="0" w:oddHBand="0" w:evenHBand="0" w:firstRowFirstColumn="0" w:firstRowLastColumn="0" w:lastRowFirstColumn="0" w:lastRowLastColumn="0"/>
            <w:tcW w:w="2670" w:type="pct"/>
          </w:tcPr>
          <w:p w14:paraId="7D187C4E" w14:textId="77777777" w:rsidR="009B3B0C" w:rsidRDefault="009B3B0C">
            <w:r>
              <w:t xml:space="preserve">Syngas conditioning (including </w:t>
            </w:r>
            <w:proofErr w:type="spellStart"/>
            <w:r>
              <w:t>DeSOx</w:t>
            </w:r>
            <w:proofErr w:type="spellEnd"/>
            <w:r>
              <w:t xml:space="preserve"> and WGS)</w:t>
            </w:r>
          </w:p>
        </w:tc>
        <w:tc>
          <w:tcPr>
            <w:tcW w:w="2330" w:type="pct"/>
          </w:tcPr>
          <w:p w14:paraId="2F65B054"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Electricity,</w:t>
            </w:r>
          </w:p>
          <w:p w14:paraId="6B2A40E2"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Fuel,</w:t>
            </w:r>
          </w:p>
          <w:p w14:paraId="4F080B0C"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Fugitive emissions,</w:t>
            </w:r>
          </w:p>
          <w:p w14:paraId="029CA966"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Steam,</w:t>
            </w:r>
          </w:p>
          <w:p w14:paraId="4F1B5FF5"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Water,</w:t>
            </w:r>
          </w:p>
          <w:p w14:paraId="683D12CB" w14:textId="691A3468"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Chemical</w:t>
            </w:r>
            <w:r w:rsidR="00E424E5">
              <w:t>/catalysts</w:t>
            </w:r>
            <w:r>
              <w:t>.</w:t>
            </w:r>
          </w:p>
        </w:tc>
      </w:tr>
      <w:tr w:rsidR="009B3B0C" w14:paraId="4FB59DFC" w14:textId="77777777" w:rsidTr="002835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pct"/>
          </w:tcPr>
          <w:p w14:paraId="222BF86A" w14:textId="7128D640" w:rsidR="009B3B0C" w:rsidRDefault="009B3B0C">
            <w:r>
              <w:t>Syngas conditioning (carbon removal</w:t>
            </w:r>
            <w:r w:rsidR="00EA0502">
              <w:t xml:space="preserve"> and hydrogen purification)</w:t>
            </w:r>
          </w:p>
        </w:tc>
        <w:tc>
          <w:tcPr>
            <w:tcW w:w="2330" w:type="pct"/>
          </w:tcPr>
          <w:p w14:paraId="0BE5D121"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Electricity,</w:t>
            </w:r>
          </w:p>
          <w:p w14:paraId="0A949192"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Water,</w:t>
            </w:r>
          </w:p>
          <w:p w14:paraId="00A13275"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Fuel,</w:t>
            </w:r>
          </w:p>
          <w:p w14:paraId="4319709F"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Chemicals,</w:t>
            </w:r>
          </w:p>
          <w:p w14:paraId="42024D7E"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Steam,</w:t>
            </w:r>
          </w:p>
          <w:p w14:paraId="6D63B5E2"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Fugitive emissions,</w:t>
            </w:r>
          </w:p>
          <w:p w14:paraId="25459A83"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Supplementary processing.</w:t>
            </w:r>
          </w:p>
        </w:tc>
      </w:tr>
      <w:tr w:rsidR="009B3B0C" w14:paraId="0020B572" w14:textId="77777777" w:rsidTr="002835F2">
        <w:trPr>
          <w:cantSplit/>
        </w:trPr>
        <w:tc>
          <w:tcPr>
            <w:cnfStyle w:val="001000000000" w:firstRow="0" w:lastRow="0" w:firstColumn="1" w:lastColumn="0" w:oddVBand="0" w:evenVBand="0" w:oddHBand="0" w:evenHBand="0" w:firstRowFirstColumn="0" w:firstRowLastColumn="0" w:lastRowFirstColumn="0" w:lastRowLastColumn="0"/>
            <w:tcW w:w="2670" w:type="pct"/>
          </w:tcPr>
          <w:p w14:paraId="057AA531" w14:textId="77777777" w:rsidR="009B3B0C" w:rsidRDefault="009B3B0C">
            <w:r>
              <w:t>Compression</w:t>
            </w:r>
          </w:p>
        </w:tc>
        <w:tc>
          <w:tcPr>
            <w:tcW w:w="2330" w:type="pct"/>
          </w:tcPr>
          <w:p w14:paraId="4D1FF7B5"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Electricity,</w:t>
            </w:r>
          </w:p>
          <w:p w14:paraId="5E6EA95A"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Coolant leaks,</w:t>
            </w:r>
          </w:p>
          <w:p w14:paraId="5663D04A"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Fugitive emissions,</w:t>
            </w:r>
          </w:p>
          <w:p w14:paraId="4E3A849E"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Fuel.</w:t>
            </w:r>
          </w:p>
        </w:tc>
      </w:tr>
      <w:tr w:rsidR="009B3B0C" w14:paraId="74A178A6" w14:textId="77777777" w:rsidTr="002835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pct"/>
          </w:tcPr>
          <w:p w14:paraId="01DD91C3" w14:textId="258A6D9A" w:rsidR="009B3B0C" w:rsidRDefault="009B3B0C">
            <w:r>
              <w:t xml:space="preserve">Carbon Capture </w:t>
            </w:r>
            <w:r w:rsidR="00447A15">
              <w:t xml:space="preserve">Transport </w:t>
            </w:r>
            <w:r>
              <w:t>and Storage</w:t>
            </w:r>
          </w:p>
        </w:tc>
        <w:tc>
          <w:tcPr>
            <w:tcW w:w="2330" w:type="pct"/>
          </w:tcPr>
          <w:p w14:paraId="2C2D93EC"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Electricity,</w:t>
            </w:r>
          </w:p>
          <w:p w14:paraId="6B90A1C8"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Coolant leaks,</w:t>
            </w:r>
          </w:p>
          <w:p w14:paraId="269B668A"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Fugitive emissions (during processing),</w:t>
            </w:r>
          </w:p>
          <w:p w14:paraId="32B97528"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Fuel,</w:t>
            </w:r>
          </w:p>
          <w:p w14:paraId="12A92C3E" w14:textId="77777777" w:rsidR="003E2481" w:rsidRDefault="009B3B0C" w:rsidP="003E2481">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Transport</w:t>
            </w:r>
            <w:r w:rsidR="00447A15">
              <w:t xml:space="preserve"> (leakage, vehicle emissions,</w:t>
            </w:r>
            <w:r w:rsidR="00EB5B61">
              <w:t xml:space="preserve"> booster pumps in pipeline</w:t>
            </w:r>
            <w:r w:rsidR="003A5312">
              <w:t>s)</w:t>
            </w:r>
          </w:p>
          <w:p w14:paraId="7B947094" w14:textId="1ECF52D3" w:rsidR="003E2481" w:rsidRDefault="003E2481" w:rsidP="003E2481">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Electricity for pumps at injection site,</w:t>
            </w:r>
          </w:p>
          <w:p w14:paraId="0FD03BC7" w14:textId="70550F1C" w:rsidR="009B3B0C" w:rsidRDefault="003E2481" w:rsidP="003E2481">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Leaks at injection well head</w:t>
            </w:r>
            <w:r w:rsidR="009B3B0C">
              <w:t>.</w:t>
            </w:r>
          </w:p>
        </w:tc>
      </w:tr>
    </w:tbl>
    <w:p w14:paraId="66962F93" w14:textId="3CEAA1F4" w:rsidR="009B3B0C" w:rsidRPr="008140F7" w:rsidRDefault="009B3B0C" w:rsidP="00621A7C">
      <w:pPr>
        <w:pStyle w:val="Table"/>
        <w:keepNext/>
        <w:spacing w:before="200"/>
      </w:pPr>
      <w:bookmarkStart w:id="124" w:name="_Ref141285002"/>
      <w:r w:rsidRPr="008140F7">
        <w:t>Table</w:t>
      </w:r>
      <w:r>
        <w:t xml:space="preserve"> </w:t>
      </w:r>
      <w:bookmarkEnd w:id="124"/>
      <w:r w:rsidR="00921128">
        <w:t>1.2</w:t>
      </w:r>
      <w:r w:rsidRPr="008140F7">
        <w:t xml:space="preserve"> </w:t>
      </w:r>
      <w:r>
        <w:t xml:space="preserve">Examples of </w:t>
      </w:r>
      <w:r w:rsidR="001A35EB">
        <w:t xml:space="preserve">optional modules that must be included where </w:t>
      </w:r>
      <w:r>
        <w:t>relevant</w:t>
      </w:r>
    </w:p>
    <w:tbl>
      <w:tblPr>
        <w:tblStyle w:val="PlainTable1"/>
        <w:tblW w:w="5000" w:type="pct"/>
        <w:tblLook w:val="04A0" w:firstRow="1" w:lastRow="0" w:firstColumn="1" w:lastColumn="0" w:noHBand="0" w:noVBand="1"/>
      </w:tblPr>
      <w:tblGrid>
        <w:gridCol w:w="4815"/>
        <w:gridCol w:w="4201"/>
      </w:tblGrid>
      <w:tr w:rsidR="009B3B0C" w:rsidRPr="00C948B3" w14:paraId="3118B69A" w14:textId="77777777" w:rsidTr="00E03033">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670" w:type="pct"/>
            <w:shd w:val="clear" w:color="auto" w:fill="AEAAAA" w:themeFill="background2" w:themeFillShade="BF"/>
            <w:vAlign w:val="center"/>
          </w:tcPr>
          <w:p w14:paraId="2AAC19DB" w14:textId="77777777" w:rsidR="009B3B0C" w:rsidRPr="00C948B3" w:rsidRDefault="009B3B0C" w:rsidP="00E4431F">
            <w:r w:rsidRPr="00C948B3">
              <w:t>Module</w:t>
            </w:r>
          </w:p>
        </w:tc>
        <w:tc>
          <w:tcPr>
            <w:tcW w:w="2330" w:type="pct"/>
            <w:shd w:val="clear" w:color="auto" w:fill="AEAAAA" w:themeFill="background2" w:themeFillShade="BF"/>
            <w:vAlign w:val="center"/>
          </w:tcPr>
          <w:p w14:paraId="2768BF47" w14:textId="77777777" w:rsidR="009B3B0C" w:rsidRPr="00C948B3" w:rsidRDefault="009B3B0C" w:rsidP="00E4431F">
            <w:pPr>
              <w:cnfStyle w:val="100000000000" w:firstRow="1" w:lastRow="0" w:firstColumn="0" w:lastColumn="0" w:oddVBand="0" w:evenVBand="0" w:oddHBand="0" w:evenHBand="0" w:firstRowFirstColumn="0" w:firstRowLastColumn="0" w:lastRowFirstColumn="0" w:lastRowLastColumn="0"/>
            </w:pPr>
            <w:r w:rsidRPr="00C948B3">
              <w:t>Emission sources</w:t>
            </w:r>
          </w:p>
        </w:tc>
      </w:tr>
      <w:tr w:rsidR="009B3B0C" w14:paraId="7A12E36A" w14:textId="77777777" w:rsidTr="00E030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pct"/>
          </w:tcPr>
          <w:p w14:paraId="1C21FAB4" w14:textId="77777777" w:rsidR="009B3B0C" w:rsidRDefault="009B3B0C">
            <w:r>
              <w:t>Onsite electricity generation</w:t>
            </w:r>
          </w:p>
        </w:tc>
        <w:tc>
          <w:tcPr>
            <w:tcW w:w="2330" w:type="pct"/>
          </w:tcPr>
          <w:p w14:paraId="5E9B8D2D"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Fuel,</w:t>
            </w:r>
          </w:p>
          <w:p w14:paraId="1083E39F"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Water,</w:t>
            </w:r>
          </w:p>
          <w:p w14:paraId="2EC0104C" w14:textId="77777777" w:rsidR="009B3B0C" w:rsidRDefault="009B3B0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Fugitive emissions.</w:t>
            </w:r>
          </w:p>
        </w:tc>
      </w:tr>
      <w:tr w:rsidR="009B3B0C" w14:paraId="3A827204" w14:textId="77777777" w:rsidTr="00E03033">
        <w:trPr>
          <w:cantSplit/>
        </w:trPr>
        <w:tc>
          <w:tcPr>
            <w:cnfStyle w:val="001000000000" w:firstRow="0" w:lastRow="0" w:firstColumn="1" w:lastColumn="0" w:oddVBand="0" w:evenVBand="0" w:oddHBand="0" w:evenHBand="0" w:firstRowFirstColumn="0" w:firstRowLastColumn="0" w:lastRowFirstColumn="0" w:lastRowLastColumn="0"/>
            <w:tcW w:w="2670" w:type="pct"/>
          </w:tcPr>
          <w:p w14:paraId="41AB5BA9" w14:textId="77777777" w:rsidR="009B3B0C" w:rsidRDefault="009B3B0C" w:rsidP="00900DD1">
            <w:r>
              <w:t>Onsite steam generation (not already part of the core units)</w:t>
            </w:r>
          </w:p>
        </w:tc>
        <w:tc>
          <w:tcPr>
            <w:tcW w:w="2330" w:type="pct"/>
          </w:tcPr>
          <w:p w14:paraId="65E82980"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Fuel,</w:t>
            </w:r>
          </w:p>
          <w:p w14:paraId="168CFBCE"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Electricity,</w:t>
            </w:r>
          </w:p>
          <w:p w14:paraId="39A4BB51"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Water,</w:t>
            </w:r>
          </w:p>
          <w:p w14:paraId="7FB2F614"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Fugitive emissions.</w:t>
            </w:r>
          </w:p>
        </w:tc>
      </w:tr>
      <w:tr w:rsidR="009B3B0C" w14:paraId="15A0EE38" w14:textId="77777777" w:rsidTr="00E030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pct"/>
          </w:tcPr>
          <w:p w14:paraId="395CE35D" w14:textId="77777777" w:rsidR="009B3B0C" w:rsidRDefault="009B3B0C">
            <w:pPr>
              <w:ind w:left="360" w:hanging="360"/>
            </w:pPr>
            <w:r>
              <w:t>Cooling systems</w:t>
            </w:r>
          </w:p>
        </w:tc>
        <w:tc>
          <w:tcPr>
            <w:tcW w:w="2330" w:type="pct"/>
          </w:tcPr>
          <w:p w14:paraId="3B8B2D71"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Electricity,</w:t>
            </w:r>
          </w:p>
          <w:p w14:paraId="655B2CE7"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Water,</w:t>
            </w:r>
          </w:p>
          <w:p w14:paraId="75D6867C"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Coolant leaks,</w:t>
            </w:r>
          </w:p>
          <w:p w14:paraId="41F24AD1"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Fugitive emissions,</w:t>
            </w:r>
          </w:p>
          <w:p w14:paraId="072D12DD"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Chemicals,</w:t>
            </w:r>
          </w:p>
          <w:p w14:paraId="67396114"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Fuel.</w:t>
            </w:r>
          </w:p>
        </w:tc>
      </w:tr>
      <w:tr w:rsidR="009B3B0C" w14:paraId="2A6149E0" w14:textId="77777777" w:rsidTr="00E03033">
        <w:trPr>
          <w:cantSplit/>
        </w:trPr>
        <w:tc>
          <w:tcPr>
            <w:cnfStyle w:val="001000000000" w:firstRow="0" w:lastRow="0" w:firstColumn="1" w:lastColumn="0" w:oddVBand="0" w:evenVBand="0" w:oddHBand="0" w:evenHBand="0" w:firstRowFirstColumn="0" w:firstRowLastColumn="0" w:lastRowFirstColumn="0" w:lastRowLastColumn="0"/>
            <w:tcW w:w="2670" w:type="pct"/>
          </w:tcPr>
          <w:p w14:paraId="59DF9CCE" w14:textId="77777777" w:rsidR="009B3B0C" w:rsidRDefault="009B3B0C">
            <w:pPr>
              <w:ind w:left="360" w:hanging="360"/>
            </w:pPr>
            <w:r>
              <w:t>Co-product conditioning</w:t>
            </w:r>
          </w:p>
        </w:tc>
        <w:tc>
          <w:tcPr>
            <w:tcW w:w="2330" w:type="pct"/>
          </w:tcPr>
          <w:p w14:paraId="728F6918"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Electricity,</w:t>
            </w:r>
          </w:p>
          <w:p w14:paraId="02BFAAE5"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Water,</w:t>
            </w:r>
          </w:p>
          <w:p w14:paraId="0E0BB955"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Fuel,</w:t>
            </w:r>
          </w:p>
          <w:p w14:paraId="72D1B6D0"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Chemicals,</w:t>
            </w:r>
          </w:p>
          <w:p w14:paraId="725F3E99"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Fugitive emissions.</w:t>
            </w:r>
          </w:p>
        </w:tc>
      </w:tr>
      <w:tr w:rsidR="009B3B0C" w14:paraId="67C7730C" w14:textId="77777777" w:rsidTr="00E030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pct"/>
          </w:tcPr>
          <w:p w14:paraId="715BD1DE" w14:textId="77777777" w:rsidR="009B3B0C" w:rsidRDefault="009B3B0C">
            <w:pPr>
              <w:ind w:left="360" w:hanging="360"/>
            </w:pPr>
            <w:r>
              <w:t>Wastewater pre-treatment</w:t>
            </w:r>
          </w:p>
        </w:tc>
        <w:tc>
          <w:tcPr>
            <w:tcW w:w="2330" w:type="pct"/>
          </w:tcPr>
          <w:p w14:paraId="6A8F1407"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Electricity,</w:t>
            </w:r>
          </w:p>
          <w:p w14:paraId="0E003D6B"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Water,</w:t>
            </w:r>
          </w:p>
          <w:p w14:paraId="3A40E26D"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Chemicals,</w:t>
            </w:r>
          </w:p>
          <w:p w14:paraId="663B3E0C"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Steam,</w:t>
            </w:r>
          </w:p>
          <w:p w14:paraId="09C83305"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Fuel.</w:t>
            </w:r>
          </w:p>
        </w:tc>
      </w:tr>
      <w:tr w:rsidR="009B3B0C" w14:paraId="1D362485" w14:textId="77777777" w:rsidTr="00E03033">
        <w:trPr>
          <w:cantSplit/>
        </w:trPr>
        <w:tc>
          <w:tcPr>
            <w:cnfStyle w:val="001000000000" w:firstRow="0" w:lastRow="0" w:firstColumn="1" w:lastColumn="0" w:oddVBand="0" w:evenVBand="0" w:oddHBand="0" w:evenHBand="0" w:firstRowFirstColumn="0" w:firstRowLastColumn="0" w:lastRowFirstColumn="0" w:lastRowLastColumn="0"/>
            <w:tcW w:w="2670" w:type="pct"/>
          </w:tcPr>
          <w:p w14:paraId="699577FC" w14:textId="77777777" w:rsidR="009B3B0C" w:rsidRDefault="009B3B0C">
            <w:pPr>
              <w:ind w:left="360" w:hanging="360"/>
            </w:pPr>
            <w:r>
              <w:t>Water treatment</w:t>
            </w:r>
          </w:p>
        </w:tc>
        <w:tc>
          <w:tcPr>
            <w:tcW w:w="2330" w:type="pct"/>
          </w:tcPr>
          <w:p w14:paraId="2628FC94" w14:textId="77777777" w:rsidR="009B3B0C" w:rsidRDefault="009B3B0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Electricity,</w:t>
            </w:r>
          </w:p>
          <w:p w14:paraId="0D6E812D" w14:textId="77777777" w:rsidR="009B3B0C" w:rsidRDefault="009B3B0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Chemicals,</w:t>
            </w:r>
          </w:p>
          <w:p w14:paraId="635E52CB" w14:textId="77777777" w:rsidR="009B3B0C" w:rsidRDefault="009B3B0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Fuel,</w:t>
            </w:r>
          </w:p>
          <w:p w14:paraId="349B1F79" w14:textId="77777777" w:rsidR="009B3B0C" w:rsidRDefault="009B3B0C">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 xml:space="preserve">Water, </w:t>
            </w:r>
          </w:p>
          <w:p w14:paraId="3E1323BF" w14:textId="77777777" w:rsidR="009B3B0C" w:rsidRDefault="009B3B0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Fugitive emissions.</w:t>
            </w:r>
          </w:p>
        </w:tc>
      </w:tr>
      <w:tr w:rsidR="009B3B0C" w14:paraId="11A0A689" w14:textId="77777777" w:rsidTr="00E030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70" w:type="pct"/>
          </w:tcPr>
          <w:p w14:paraId="4123BC63" w14:textId="77777777" w:rsidR="009B3B0C" w:rsidRDefault="009B3B0C">
            <w:r>
              <w:t>Post removal sulphur processing</w:t>
            </w:r>
          </w:p>
        </w:tc>
        <w:tc>
          <w:tcPr>
            <w:tcW w:w="2330" w:type="pct"/>
          </w:tcPr>
          <w:p w14:paraId="12FEF30A" w14:textId="77777777" w:rsidR="009B3B0C" w:rsidRDefault="009B3B0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Electricity,</w:t>
            </w:r>
          </w:p>
          <w:p w14:paraId="59BE8EA3" w14:textId="77777777" w:rsidR="009B3B0C" w:rsidRDefault="009B3B0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Fuel,</w:t>
            </w:r>
          </w:p>
          <w:p w14:paraId="7E72F268" w14:textId="77777777" w:rsidR="009B3B0C" w:rsidRDefault="009B3B0C">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Water,</w:t>
            </w:r>
          </w:p>
          <w:p w14:paraId="1ACA6EE7" w14:textId="77777777" w:rsidR="009B3B0C" w:rsidRDefault="009B3B0C">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Fugitive emissions.</w:t>
            </w:r>
          </w:p>
        </w:tc>
      </w:tr>
      <w:tr w:rsidR="009B3B0C" w14:paraId="496D678B" w14:textId="77777777" w:rsidTr="00E03033">
        <w:trPr>
          <w:cantSplit/>
          <w:trHeight w:val="397"/>
        </w:trPr>
        <w:tc>
          <w:tcPr>
            <w:cnfStyle w:val="001000000000" w:firstRow="0" w:lastRow="0" w:firstColumn="1" w:lastColumn="0" w:oddVBand="0" w:evenVBand="0" w:oddHBand="0" w:evenHBand="0" w:firstRowFirstColumn="0" w:firstRowLastColumn="0" w:lastRowFirstColumn="0" w:lastRowLastColumn="0"/>
            <w:tcW w:w="2670" w:type="pct"/>
            <w:vAlign w:val="center"/>
          </w:tcPr>
          <w:p w14:paraId="5B21972E" w14:textId="77777777" w:rsidR="009B3B0C" w:rsidRDefault="009B3B0C" w:rsidP="00E4431F">
            <w:pPr>
              <w:ind w:left="360" w:hanging="360"/>
            </w:pPr>
            <w:r>
              <w:t>Electricity supply control</w:t>
            </w:r>
          </w:p>
        </w:tc>
        <w:tc>
          <w:tcPr>
            <w:tcW w:w="2330" w:type="pct"/>
            <w:vAlign w:val="center"/>
          </w:tcPr>
          <w:p w14:paraId="32B1AF81" w14:textId="77777777" w:rsidR="009B3B0C" w:rsidRDefault="009B3B0C" w:rsidP="00E4431F">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t>SF6 inventory</w:t>
            </w:r>
          </w:p>
        </w:tc>
      </w:tr>
    </w:tbl>
    <w:p w14:paraId="7D8C8072" w14:textId="4AB3582C" w:rsidR="00D308F3" w:rsidRDefault="00A275A0" w:rsidP="00BB357C">
      <w:pPr>
        <w:pStyle w:val="Heading3"/>
        <w:spacing w:before="200"/>
      </w:pPr>
      <w:bookmarkStart w:id="125" w:name="_Ref140525409"/>
      <w:r>
        <w:t xml:space="preserve">Setting the </w:t>
      </w:r>
      <w:r w:rsidR="00080AC2">
        <w:t>production boundary</w:t>
      </w:r>
      <w:bookmarkEnd w:id="125"/>
    </w:p>
    <w:p w14:paraId="7658F510" w14:textId="46E98E3F" w:rsidR="009B3B0C" w:rsidRDefault="005260B8" w:rsidP="001B735A">
      <w:r>
        <w:t xml:space="preserve">The product facility will set the scope for which emissions are required to be reported through the GO scheme. </w:t>
      </w:r>
      <w:r w:rsidR="00B00142">
        <w:t xml:space="preserve">The registered participant will also need to identify </w:t>
      </w:r>
      <w:r w:rsidR="00452C9F">
        <w:t xml:space="preserve">in their product profiles </w:t>
      </w:r>
      <w:r w:rsidR="005752D6">
        <w:t xml:space="preserve">how the various emissions sources included in product facility will be measured. Namely they will need to identify how inputs and outputs throughout </w:t>
      </w:r>
      <w:r w:rsidR="00F77501">
        <w:t>t</w:t>
      </w:r>
      <w:r w:rsidR="005752D6">
        <w:t xml:space="preserve">he production process will be measured and define the </w:t>
      </w:r>
      <w:r w:rsidR="005752D6" w:rsidRPr="00E6606A">
        <w:rPr>
          <w:b/>
          <w:bCs/>
        </w:rPr>
        <w:t>measurement groupings</w:t>
      </w:r>
      <w:r w:rsidR="005752D6">
        <w:t xml:space="preserve"> for these emissions sources. They will also need to identify within these measurement groupings which processes are attributable, non-attributable and shared</w:t>
      </w:r>
      <w:r w:rsidR="00A70F71">
        <w:t xml:space="preserve"> (defined in Table </w:t>
      </w:r>
      <w:r w:rsidR="00921128">
        <w:t>1.3</w:t>
      </w:r>
      <w:r w:rsidR="00231217">
        <w:t xml:space="preserve"> </w:t>
      </w:r>
      <w:r w:rsidR="00A70F71">
        <w:t>below)</w:t>
      </w:r>
      <w:r w:rsidR="005752D6">
        <w:t>.</w:t>
      </w:r>
    </w:p>
    <w:p w14:paraId="3917CAB2" w14:textId="0A85986E" w:rsidR="00D308F3" w:rsidRDefault="00452C9F" w:rsidP="001B735A">
      <w:r>
        <w:t xml:space="preserve">The final element of the </w:t>
      </w:r>
      <w:r w:rsidR="00080AC2">
        <w:t>production boundary</w:t>
      </w:r>
      <w:r>
        <w:t xml:space="preserve"> is set w</w:t>
      </w:r>
      <w:r w:rsidRPr="00054F72">
        <w:t xml:space="preserve">hen the </w:t>
      </w:r>
      <w:r w:rsidR="000174EA">
        <w:t>registered participant initiates a Product GO Certificate creation claim. This claim will involve setting the batch period</w:t>
      </w:r>
      <w:r w:rsidR="000D715D">
        <w:t xml:space="preserve">, an interval of time over which the </w:t>
      </w:r>
      <w:r w:rsidR="000D715D" w:rsidRPr="00054F72">
        <w:t xml:space="preserve">production conditions </w:t>
      </w:r>
      <w:r w:rsidR="000D715D">
        <w:t xml:space="preserve">are consistent and </w:t>
      </w:r>
      <w:r w:rsidR="000D715D" w:rsidRPr="00054F72">
        <w:t xml:space="preserve">the </w:t>
      </w:r>
      <w:r w:rsidR="000D715D">
        <w:t>registered product</w:t>
      </w:r>
      <w:r w:rsidR="000D715D" w:rsidRPr="00054F72">
        <w:t xml:space="preserve"> can be considered homogenous</w:t>
      </w:r>
      <w:r w:rsidR="000D715D">
        <w:t xml:space="preserve">. The batch period sets the temporal boundary over which </w:t>
      </w:r>
      <w:r w:rsidR="000D715D" w:rsidRPr="00054F72">
        <w:t xml:space="preserve">information on emissions </w:t>
      </w:r>
      <w:r w:rsidR="000D715D">
        <w:t>will be collected and reported through the GO scheme.</w:t>
      </w:r>
    </w:p>
    <w:p w14:paraId="261330B3" w14:textId="07F51B0B" w:rsidR="00AC4CB1" w:rsidRDefault="00AC4CB1" w:rsidP="001038DF">
      <w:r>
        <w:t xml:space="preserve">The </w:t>
      </w:r>
      <w:r w:rsidR="007B24D0">
        <w:t>terms used</w:t>
      </w:r>
      <w:r w:rsidR="005C3F6F">
        <w:t xml:space="preserve"> to </w:t>
      </w:r>
      <w:r w:rsidR="007B24D0">
        <w:t>set</w:t>
      </w:r>
      <w:r w:rsidR="005C3F6F">
        <w:t xml:space="preserve"> the </w:t>
      </w:r>
      <w:r w:rsidR="00080AC2">
        <w:t>production boundary</w:t>
      </w:r>
      <w:r w:rsidR="005C3F6F">
        <w:t xml:space="preserve"> </w:t>
      </w:r>
      <w:r w:rsidR="007B24D0">
        <w:t>are</w:t>
      </w:r>
      <w:r w:rsidR="005C3F6F">
        <w:t xml:space="preserve"> based on the </w:t>
      </w:r>
      <w:r w:rsidR="00027589">
        <w:t>National Greenhouse and Energy Reporting</w:t>
      </w:r>
      <w:r w:rsidR="005C3F6F">
        <w:t xml:space="preserve"> </w:t>
      </w:r>
      <w:r w:rsidR="00B07C1E">
        <w:t>scheme</w:t>
      </w:r>
      <w:r w:rsidR="00027589">
        <w:t xml:space="preserve"> (</w:t>
      </w:r>
      <w:r w:rsidR="005C3F6F">
        <w:t>NGER</w:t>
      </w:r>
      <w:r w:rsidR="00027589">
        <w:t>)</w:t>
      </w:r>
      <w:r w:rsidR="005C3F6F">
        <w:t>. However</w:t>
      </w:r>
      <w:r w:rsidR="00AF0386">
        <w:t>,</w:t>
      </w:r>
      <w:r w:rsidR="005C3F6F">
        <w:t xml:space="preserve"> there are some aspects where the needs of the GO scheme differ from that of NGER, summarised in the table below.</w:t>
      </w:r>
    </w:p>
    <w:p w14:paraId="61FE8E84" w14:textId="2A37A20D" w:rsidR="005C3F6F" w:rsidRDefault="005C3F6F" w:rsidP="00621A7C">
      <w:pPr>
        <w:pStyle w:val="Table"/>
        <w:keepNext/>
        <w:spacing w:before="200"/>
      </w:pPr>
      <w:r>
        <w:t xml:space="preserve">Table </w:t>
      </w:r>
      <w:r w:rsidR="00921128">
        <w:t xml:space="preserve">1.3 </w:t>
      </w:r>
      <w:r>
        <w:t>Comparison of NGER and GO scheme terms</w:t>
      </w:r>
    </w:p>
    <w:tbl>
      <w:tblPr>
        <w:tblStyle w:val="PlainTable1"/>
        <w:tblW w:w="5000" w:type="pct"/>
        <w:tblLook w:val="04A0" w:firstRow="1" w:lastRow="0" w:firstColumn="1" w:lastColumn="0" w:noHBand="0" w:noVBand="1"/>
      </w:tblPr>
      <w:tblGrid>
        <w:gridCol w:w="1875"/>
        <w:gridCol w:w="2943"/>
        <w:gridCol w:w="1765"/>
        <w:gridCol w:w="2433"/>
      </w:tblGrid>
      <w:tr w:rsidR="005C3F6F" w:rsidRPr="009B64F2" w14:paraId="4D96A159" w14:textId="77777777" w:rsidTr="00E07A4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0" w:type="pct"/>
            <w:shd w:val="clear" w:color="auto" w:fill="AEAAAA" w:themeFill="background2" w:themeFillShade="BF"/>
            <w:vAlign w:val="center"/>
          </w:tcPr>
          <w:p w14:paraId="7DAE4221" w14:textId="77777777" w:rsidR="005C3F6F" w:rsidRDefault="005C3F6F" w:rsidP="00E4431F">
            <w:r>
              <w:t>GO Term</w:t>
            </w:r>
          </w:p>
        </w:tc>
        <w:tc>
          <w:tcPr>
            <w:tcW w:w="1632" w:type="pct"/>
            <w:shd w:val="clear" w:color="auto" w:fill="AEAAAA" w:themeFill="background2" w:themeFillShade="BF"/>
            <w:vAlign w:val="center"/>
          </w:tcPr>
          <w:p w14:paraId="212BE693" w14:textId="77777777" w:rsidR="005C3F6F" w:rsidRDefault="005C3F6F" w:rsidP="00E4431F">
            <w:pPr>
              <w:cnfStyle w:val="100000000000" w:firstRow="1" w:lastRow="0" w:firstColumn="0" w:lastColumn="0" w:oddVBand="0" w:evenVBand="0" w:oddHBand="0" w:evenHBand="0" w:firstRowFirstColumn="0" w:firstRowLastColumn="0" w:lastRowFirstColumn="0" w:lastRowLastColumn="0"/>
            </w:pPr>
            <w:r w:rsidRPr="009B64F2">
              <w:t>GO scheme</w:t>
            </w:r>
          </w:p>
        </w:tc>
        <w:tc>
          <w:tcPr>
            <w:tcW w:w="979" w:type="pct"/>
            <w:shd w:val="clear" w:color="auto" w:fill="AEAAAA" w:themeFill="background2" w:themeFillShade="BF"/>
            <w:vAlign w:val="center"/>
          </w:tcPr>
          <w:p w14:paraId="2C394F2C" w14:textId="77777777" w:rsidR="005C3F6F" w:rsidRPr="009B64F2" w:rsidRDefault="005C3F6F" w:rsidP="00E4431F">
            <w:pPr>
              <w:cnfStyle w:val="100000000000" w:firstRow="1" w:lastRow="0" w:firstColumn="0" w:lastColumn="0" w:oddVBand="0" w:evenVBand="0" w:oddHBand="0" w:evenHBand="0" w:firstRowFirstColumn="0" w:firstRowLastColumn="0" w:lastRowFirstColumn="0" w:lastRowLastColumn="0"/>
            </w:pPr>
            <w:r>
              <w:t>NGER Term</w:t>
            </w:r>
          </w:p>
        </w:tc>
        <w:tc>
          <w:tcPr>
            <w:tcW w:w="1350" w:type="pct"/>
            <w:shd w:val="clear" w:color="auto" w:fill="AEAAAA" w:themeFill="background2" w:themeFillShade="BF"/>
            <w:vAlign w:val="center"/>
          </w:tcPr>
          <w:p w14:paraId="2D9F268C" w14:textId="77777777" w:rsidR="005C3F6F" w:rsidRPr="009B64F2" w:rsidRDefault="005C3F6F" w:rsidP="00E4431F">
            <w:pPr>
              <w:cnfStyle w:val="100000000000" w:firstRow="1" w:lastRow="0" w:firstColumn="0" w:lastColumn="0" w:oddVBand="0" w:evenVBand="0" w:oddHBand="0" w:evenHBand="0" w:firstRowFirstColumn="0" w:firstRowLastColumn="0" w:lastRowFirstColumn="0" w:lastRowLastColumn="0"/>
            </w:pPr>
            <w:r w:rsidRPr="009B64F2">
              <w:t>NGER</w:t>
            </w:r>
            <w:r>
              <w:t xml:space="preserve"> definition</w:t>
            </w:r>
          </w:p>
        </w:tc>
      </w:tr>
      <w:tr w:rsidR="005C3F6F" w14:paraId="42C55467" w14:textId="77777777" w:rsidTr="00E07A46">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040" w:type="pct"/>
          </w:tcPr>
          <w:p w14:paraId="26B8C107" w14:textId="77777777" w:rsidR="005C3F6F" w:rsidRPr="002668AD" w:rsidRDefault="005C3F6F" w:rsidP="00561F79">
            <w:r w:rsidRPr="002668AD">
              <w:t>Batch period</w:t>
            </w:r>
          </w:p>
        </w:tc>
        <w:tc>
          <w:tcPr>
            <w:tcW w:w="1632" w:type="pct"/>
          </w:tcPr>
          <w:p w14:paraId="18D20063" w14:textId="77777777" w:rsidR="005C3F6F" w:rsidRDefault="005C3F6F" w:rsidP="00561F79">
            <w:pPr>
              <w:cnfStyle w:val="000000100000" w:firstRow="0" w:lastRow="0" w:firstColumn="0" w:lastColumn="0" w:oddVBand="0" w:evenVBand="0" w:oddHBand="1" w:evenHBand="0" w:firstRowFirstColumn="0" w:firstRowLastColumn="0" w:lastRowFirstColumn="0" w:lastRowLastColumn="0"/>
            </w:pPr>
            <w:r>
              <w:t xml:space="preserve">Reported between hourly and annually, captured in </w:t>
            </w:r>
            <w:r>
              <w:rPr>
                <w:i/>
                <w:iCs/>
              </w:rPr>
              <w:t>batch period</w:t>
            </w:r>
            <w:r>
              <w:t>.</w:t>
            </w:r>
          </w:p>
        </w:tc>
        <w:tc>
          <w:tcPr>
            <w:tcW w:w="979" w:type="pct"/>
          </w:tcPr>
          <w:p w14:paraId="4B659D72" w14:textId="42AE1474" w:rsidR="005C3F6F" w:rsidRPr="002668AD" w:rsidRDefault="00D2724E" w:rsidP="00561F79">
            <w:pPr>
              <w:cnfStyle w:val="000000100000" w:firstRow="0" w:lastRow="0" w:firstColumn="0" w:lastColumn="0" w:oddVBand="0" w:evenVBand="0" w:oddHBand="1" w:evenHBand="0" w:firstRowFirstColumn="0" w:firstRowLastColumn="0" w:lastRowFirstColumn="0" w:lastRowLastColumn="0"/>
              <w:rPr>
                <w:b/>
              </w:rPr>
            </w:pPr>
            <w:r w:rsidRPr="002668AD">
              <w:rPr>
                <w:b/>
              </w:rPr>
              <w:t>Reporting timeframe</w:t>
            </w:r>
          </w:p>
        </w:tc>
        <w:tc>
          <w:tcPr>
            <w:tcW w:w="1350" w:type="pct"/>
          </w:tcPr>
          <w:p w14:paraId="14560332" w14:textId="2B5378B7" w:rsidR="005C3F6F" w:rsidRDefault="00D2724E" w:rsidP="00561F79">
            <w:pPr>
              <w:cnfStyle w:val="000000100000" w:firstRow="0" w:lastRow="0" w:firstColumn="0" w:lastColumn="0" w:oddVBand="0" w:evenVBand="0" w:oddHBand="1" w:evenHBand="0" w:firstRowFirstColumn="0" w:firstRowLastColumn="0" w:lastRowFirstColumn="0" w:lastRowLastColumn="0"/>
            </w:pPr>
            <w:r>
              <w:t>Reported annually</w:t>
            </w:r>
          </w:p>
        </w:tc>
      </w:tr>
      <w:tr w:rsidR="005C3F6F" w14:paraId="69C0687F" w14:textId="77777777" w:rsidTr="00E07A46">
        <w:trPr>
          <w:trHeight w:val="132"/>
        </w:trPr>
        <w:tc>
          <w:tcPr>
            <w:cnfStyle w:val="001000000000" w:firstRow="0" w:lastRow="0" w:firstColumn="1" w:lastColumn="0" w:oddVBand="0" w:evenVBand="0" w:oddHBand="0" w:evenHBand="0" w:firstRowFirstColumn="0" w:firstRowLastColumn="0" w:lastRowFirstColumn="0" w:lastRowLastColumn="0"/>
            <w:tcW w:w="1040" w:type="pct"/>
          </w:tcPr>
          <w:p w14:paraId="5350A267" w14:textId="77777777" w:rsidR="005C3F6F" w:rsidRPr="002668AD" w:rsidRDefault="005C3F6F" w:rsidP="00561F79">
            <w:r w:rsidRPr="002668AD">
              <w:t xml:space="preserve">Product </w:t>
            </w:r>
            <w:r>
              <w:t>f</w:t>
            </w:r>
            <w:r w:rsidRPr="002668AD">
              <w:t>acility</w:t>
            </w:r>
          </w:p>
        </w:tc>
        <w:tc>
          <w:tcPr>
            <w:tcW w:w="1632" w:type="pct"/>
          </w:tcPr>
          <w:p w14:paraId="57731C10" w14:textId="77777777" w:rsidR="005C3F6F" w:rsidRDefault="005C3F6F" w:rsidP="00561F79">
            <w:pPr>
              <w:cnfStyle w:val="000000000000" w:firstRow="0" w:lastRow="0" w:firstColumn="0" w:lastColumn="0" w:oddVBand="0" w:evenVBand="0" w:oddHBand="0" w:evenHBand="0" w:firstRowFirstColumn="0" w:firstRowLastColumn="0" w:lastRowFirstColumn="0" w:lastRowLastColumn="0"/>
            </w:pPr>
            <w:r w:rsidRPr="00F86ECC">
              <w:t xml:space="preserve">A series of activities involving greenhouse gas emissions and production or consumption of energy that form part of a specific production pathway for a </w:t>
            </w:r>
            <w:r>
              <w:t xml:space="preserve">registered </w:t>
            </w:r>
            <w:r w:rsidRPr="00F86ECC">
              <w:t xml:space="preserve">product </w:t>
            </w:r>
            <w:r>
              <w:t xml:space="preserve">covered by </w:t>
            </w:r>
            <w:r w:rsidRPr="00F86ECC">
              <w:t>the G</w:t>
            </w:r>
            <w:r>
              <w:t xml:space="preserve">O </w:t>
            </w:r>
            <w:r w:rsidRPr="00F86ECC">
              <w:t>scheme.</w:t>
            </w:r>
          </w:p>
        </w:tc>
        <w:tc>
          <w:tcPr>
            <w:tcW w:w="979" w:type="pct"/>
          </w:tcPr>
          <w:p w14:paraId="76087910" w14:textId="77777777" w:rsidR="005C3F6F" w:rsidRPr="002668AD" w:rsidRDefault="005C3F6F" w:rsidP="00561F79">
            <w:pPr>
              <w:cnfStyle w:val="000000000000" w:firstRow="0" w:lastRow="0" w:firstColumn="0" w:lastColumn="0" w:oddVBand="0" w:evenVBand="0" w:oddHBand="0" w:evenHBand="0" w:firstRowFirstColumn="0" w:firstRowLastColumn="0" w:lastRowFirstColumn="0" w:lastRowLastColumn="0"/>
              <w:rPr>
                <w:b/>
              </w:rPr>
            </w:pPr>
            <w:r w:rsidRPr="002668AD">
              <w:rPr>
                <w:b/>
              </w:rPr>
              <w:t>Facility</w:t>
            </w:r>
          </w:p>
        </w:tc>
        <w:tc>
          <w:tcPr>
            <w:tcW w:w="1350" w:type="pct"/>
          </w:tcPr>
          <w:p w14:paraId="3E194031" w14:textId="77777777" w:rsidR="005C3F6F" w:rsidRDefault="005C3F6F" w:rsidP="00561F79">
            <w:pPr>
              <w:cnfStyle w:val="000000000000" w:firstRow="0" w:lastRow="0" w:firstColumn="0" w:lastColumn="0" w:oddVBand="0" w:evenVBand="0" w:oddHBand="0" w:evenHBand="0" w:firstRowFirstColumn="0" w:firstRowLastColumn="0" w:lastRowFirstColumn="0" w:lastRowLastColumn="0"/>
            </w:pPr>
            <w:r>
              <w:t xml:space="preserve">A series of activities that involve greenhouse gas emissions, production or consumption of energy that are part of a single undertaking.  </w:t>
            </w:r>
          </w:p>
        </w:tc>
      </w:tr>
      <w:tr w:rsidR="005C3F6F" w14:paraId="78B5B73E" w14:textId="77777777" w:rsidTr="00E07A4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40" w:type="pct"/>
          </w:tcPr>
          <w:p w14:paraId="1575C208" w14:textId="77777777" w:rsidR="005C3F6F" w:rsidRPr="002668AD" w:rsidRDefault="005C3F6F" w:rsidP="00561F79">
            <w:r>
              <w:t>Measurement grouping</w:t>
            </w:r>
          </w:p>
        </w:tc>
        <w:tc>
          <w:tcPr>
            <w:tcW w:w="1632" w:type="pct"/>
          </w:tcPr>
          <w:p w14:paraId="61A163FA" w14:textId="77777777" w:rsidR="005C3F6F" w:rsidRDefault="005C3F6F" w:rsidP="00561F79">
            <w:pPr>
              <w:cnfStyle w:val="000000100000" w:firstRow="0" w:lastRow="0" w:firstColumn="0" w:lastColumn="0" w:oddVBand="0" w:evenVBand="0" w:oddHBand="1" w:evenHBand="0" w:firstRowFirstColumn="0" w:firstRowLastColumn="0" w:lastRowFirstColumn="0" w:lastRowLastColumn="0"/>
            </w:pPr>
            <w:r>
              <w:t>A portion of the product facility that the scheme participant elects to report emissions on.</w:t>
            </w:r>
          </w:p>
        </w:tc>
        <w:tc>
          <w:tcPr>
            <w:tcW w:w="979" w:type="pct"/>
          </w:tcPr>
          <w:p w14:paraId="07855B12" w14:textId="143685EA" w:rsidR="005C3F6F" w:rsidRPr="002668AD" w:rsidRDefault="005C3F6F" w:rsidP="00561F79">
            <w:pPr>
              <w:cnfStyle w:val="000000100000" w:firstRow="0" w:lastRow="0" w:firstColumn="0" w:lastColumn="0" w:oddVBand="0" w:evenVBand="0" w:oddHBand="1" w:evenHBand="0" w:firstRowFirstColumn="0" w:firstRowLastColumn="0" w:lastRowFirstColumn="0" w:lastRowLastColumn="0"/>
              <w:rPr>
                <w:b/>
                <w:bCs/>
              </w:rPr>
            </w:pPr>
            <w:r>
              <w:rPr>
                <w:b/>
                <w:bCs/>
              </w:rPr>
              <w:t>N/A</w:t>
            </w:r>
            <w:r w:rsidR="00D2724E">
              <w:rPr>
                <w:b/>
                <w:bCs/>
              </w:rPr>
              <w:t>*</w:t>
            </w:r>
          </w:p>
        </w:tc>
        <w:tc>
          <w:tcPr>
            <w:tcW w:w="1350" w:type="pct"/>
          </w:tcPr>
          <w:p w14:paraId="22036E93" w14:textId="77777777" w:rsidR="005C3F6F" w:rsidRDefault="005C3F6F" w:rsidP="00561F79">
            <w:pPr>
              <w:cnfStyle w:val="000000100000" w:firstRow="0" w:lastRow="0" w:firstColumn="0" w:lastColumn="0" w:oddVBand="0" w:evenVBand="0" w:oddHBand="1" w:evenHBand="0" w:firstRowFirstColumn="0" w:firstRowLastColumn="0" w:lastRowFirstColumn="0" w:lastRowLastColumn="0"/>
            </w:pPr>
            <w:r>
              <w:t>Measurements may be aggregated but must apply to entire facility.</w:t>
            </w:r>
          </w:p>
        </w:tc>
      </w:tr>
      <w:tr w:rsidR="005C3F6F" w14:paraId="60EAE272" w14:textId="77777777" w:rsidTr="00E07A46">
        <w:trPr>
          <w:trHeight w:val="1075"/>
        </w:trPr>
        <w:tc>
          <w:tcPr>
            <w:cnfStyle w:val="001000000000" w:firstRow="0" w:lastRow="0" w:firstColumn="1" w:lastColumn="0" w:oddVBand="0" w:evenVBand="0" w:oddHBand="0" w:evenHBand="0" w:firstRowFirstColumn="0" w:firstRowLastColumn="0" w:lastRowFirstColumn="0" w:lastRowLastColumn="0"/>
            <w:tcW w:w="1040" w:type="pct"/>
          </w:tcPr>
          <w:p w14:paraId="6E43CE6A" w14:textId="77777777" w:rsidR="005C3F6F" w:rsidRPr="002668AD" w:rsidRDefault="005C3F6F" w:rsidP="00561F79">
            <w:r>
              <w:t xml:space="preserve">Non-attributable </w:t>
            </w:r>
            <w:r w:rsidRPr="002668AD">
              <w:t>processes</w:t>
            </w:r>
          </w:p>
        </w:tc>
        <w:tc>
          <w:tcPr>
            <w:tcW w:w="1632" w:type="pct"/>
          </w:tcPr>
          <w:p w14:paraId="3A52B351" w14:textId="77777777" w:rsidR="005C3F6F" w:rsidRDefault="005C3F6F" w:rsidP="00561F79">
            <w:pPr>
              <w:cnfStyle w:val="000000000000" w:firstRow="0" w:lastRow="0" w:firstColumn="0" w:lastColumn="0" w:oddVBand="0" w:evenVBand="0" w:oddHBand="0" w:evenHBand="0" w:firstRowFirstColumn="0" w:firstRowLastColumn="0" w:lastRowFirstColumn="0" w:lastRowLastColumn="0"/>
            </w:pPr>
            <w:r>
              <w:t xml:space="preserve">Any emissions that are within a </w:t>
            </w:r>
            <w:r w:rsidRPr="00761062">
              <w:rPr>
                <w:i/>
              </w:rPr>
              <w:t>measurement grouping</w:t>
            </w:r>
            <w:r>
              <w:t xml:space="preserve"> but not attributable to the product. </w:t>
            </w:r>
          </w:p>
        </w:tc>
        <w:tc>
          <w:tcPr>
            <w:tcW w:w="979" w:type="pct"/>
          </w:tcPr>
          <w:p w14:paraId="11B5F92E" w14:textId="0ABC1317" w:rsidR="005C3F6F" w:rsidRPr="002668AD" w:rsidRDefault="005C3F6F" w:rsidP="00561F79">
            <w:pPr>
              <w:cnfStyle w:val="000000000000" w:firstRow="0" w:lastRow="0" w:firstColumn="0" w:lastColumn="0" w:oddVBand="0" w:evenVBand="0" w:oddHBand="0" w:evenHBand="0" w:firstRowFirstColumn="0" w:firstRowLastColumn="0" w:lastRowFirstColumn="0" w:lastRowLastColumn="0"/>
              <w:rPr>
                <w:b/>
              </w:rPr>
            </w:pPr>
            <w:r>
              <w:rPr>
                <w:b/>
                <w:bCs/>
              </w:rPr>
              <w:t>N/A</w:t>
            </w:r>
            <w:r w:rsidR="00D2724E">
              <w:rPr>
                <w:b/>
                <w:bCs/>
              </w:rPr>
              <w:t>*</w:t>
            </w:r>
          </w:p>
        </w:tc>
        <w:tc>
          <w:tcPr>
            <w:tcW w:w="1350" w:type="pct"/>
          </w:tcPr>
          <w:p w14:paraId="0D250985" w14:textId="77777777" w:rsidR="005C3F6F" w:rsidRDefault="005C3F6F" w:rsidP="00561F79">
            <w:pPr>
              <w:cnfStyle w:val="000000000000" w:firstRow="0" w:lastRow="0" w:firstColumn="0" w:lastColumn="0" w:oddVBand="0" w:evenVBand="0" w:oddHBand="0" w:evenHBand="0" w:firstRowFirstColumn="0" w:firstRowLastColumn="0" w:lastRowFirstColumn="0" w:lastRowLastColumn="0"/>
            </w:pPr>
            <w:r>
              <w:t xml:space="preserve">All processes within facility definition must be included where they produce emissions. </w:t>
            </w:r>
          </w:p>
        </w:tc>
      </w:tr>
      <w:tr w:rsidR="00D2724E" w14:paraId="05163B23" w14:textId="77777777" w:rsidTr="00E07A4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40" w:type="pct"/>
          </w:tcPr>
          <w:p w14:paraId="6DD2CD67" w14:textId="77777777" w:rsidR="00D2724E" w:rsidRPr="00761062" w:rsidRDefault="00D2724E" w:rsidP="0038005E">
            <w:r>
              <w:t>Shared processes</w:t>
            </w:r>
          </w:p>
        </w:tc>
        <w:tc>
          <w:tcPr>
            <w:tcW w:w="1632" w:type="pct"/>
          </w:tcPr>
          <w:p w14:paraId="4B1EE5D9" w14:textId="77777777" w:rsidR="00D2724E" w:rsidRDefault="00D2724E" w:rsidP="0038005E">
            <w:pPr>
              <w:cnfStyle w:val="000000100000" w:firstRow="0" w:lastRow="0" w:firstColumn="0" w:lastColumn="0" w:oddVBand="0" w:evenVBand="0" w:oddHBand="1" w:evenHBand="0" w:firstRowFirstColumn="0" w:firstRowLastColumn="0" w:lastRowFirstColumn="0" w:lastRowLastColumn="0"/>
            </w:pPr>
            <w:r w:rsidRPr="00761062">
              <w:rPr>
                <w:i/>
                <w:iCs/>
              </w:rPr>
              <w:t>Product facility</w:t>
            </w:r>
            <w:r>
              <w:t xml:space="preserve"> emissions that are attributable to co-products. </w:t>
            </w:r>
          </w:p>
        </w:tc>
        <w:tc>
          <w:tcPr>
            <w:tcW w:w="979" w:type="pct"/>
          </w:tcPr>
          <w:p w14:paraId="7B64925D" w14:textId="6C350BDB" w:rsidR="00D2724E" w:rsidRPr="002668AD" w:rsidRDefault="00D2724E" w:rsidP="0038005E">
            <w:pPr>
              <w:cnfStyle w:val="000000100000" w:firstRow="0" w:lastRow="0" w:firstColumn="0" w:lastColumn="0" w:oddVBand="0" w:evenVBand="0" w:oddHBand="1" w:evenHBand="0" w:firstRowFirstColumn="0" w:firstRowLastColumn="0" w:lastRowFirstColumn="0" w:lastRowLastColumn="0"/>
              <w:rPr>
                <w:b/>
                <w:bCs/>
              </w:rPr>
            </w:pPr>
            <w:r>
              <w:rPr>
                <w:b/>
                <w:bCs/>
              </w:rPr>
              <w:t>N/A*</w:t>
            </w:r>
          </w:p>
        </w:tc>
        <w:tc>
          <w:tcPr>
            <w:tcW w:w="1350" w:type="pct"/>
          </w:tcPr>
          <w:p w14:paraId="5C500680" w14:textId="77777777" w:rsidR="00D2724E" w:rsidRDefault="00D2724E" w:rsidP="0038005E">
            <w:pPr>
              <w:cnfStyle w:val="000000100000" w:firstRow="0" w:lastRow="0" w:firstColumn="0" w:lastColumn="0" w:oddVBand="0" w:evenVBand="0" w:oddHBand="1" w:evenHBand="0" w:firstRowFirstColumn="0" w:firstRowLastColumn="0" w:lastRowFirstColumn="0" w:lastRowLastColumn="0"/>
            </w:pPr>
            <w:r>
              <w:t xml:space="preserve">All processes within facility definition must be included where they produce emissions. </w:t>
            </w:r>
          </w:p>
        </w:tc>
      </w:tr>
    </w:tbl>
    <w:p w14:paraId="1838E1C4" w14:textId="326E3FC7" w:rsidR="00586FBC" w:rsidRDefault="00D2724E" w:rsidP="001260E8">
      <w:pPr>
        <w:spacing w:before="120"/>
      </w:pPr>
      <w:r>
        <w:t xml:space="preserve">* </w:t>
      </w:r>
      <w:r w:rsidR="00CA515A">
        <w:t>Where t</w:t>
      </w:r>
      <w:r>
        <w:t xml:space="preserve">erms </w:t>
      </w:r>
      <w:r w:rsidR="00CA515A">
        <w:t xml:space="preserve">are </w:t>
      </w:r>
      <w:r>
        <w:t xml:space="preserve">listed as N/A </w:t>
      </w:r>
      <w:r w:rsidR="002D5E20">
        <w:t>the definition column provides a</w:t>
      </w:r>
      <w:r w:rsidR="006567D8">
        <w:t xml:space="preserve"> conceptual link to </w:t>
      </w:r>
      <w:r w:rsidR="00F71729">
        <w:t xml:space="preserve">the NGER </w:t>
      </w:r>
      <w:r w:rsidR="00CF383E">
        <w:t>scheme</w:t>
      </w:r>
      <w:r w:rsidR="00F71729">
        <w:t>.</w:t>
      </w:r>
    </w:p>
    <w:p w14:paraId="4D469E93" w14:textId="74576CD0" w:rsidR="00665ABC" w:rsidRDefault="00665ABC" w:rsidP="00F3462E">
      <w:pPr>
        <w:pStyle w:val="Heading4"/>
        <w:numPr>
          <w:ilvl w:val="0"/>
          <w:numId w:val="0"/>
        </w:numPr>
        <w:spacing w:before="120"/>
      </w:pPr>
      <w:bookmarkStart w:id="126" w:name="_Ref130474776"/>
      <w:r>
        <w:t xml:space="preserve">Measurement </w:t>
      </w:r>
      <w:bookmarkEnd w:id="126"/>
      <w:r>
        <w:t>grouping</w:t>
      </w:r>
      <w:r w:rsidR="00A9785E">
        <w:t>s</w:t>
      </w:r>
    </w:p>
    <w:p w14:paraId="293E47D8" w14:textId="35EF2703" w:rsidR="00581826" w:rsidRDefault="00444B3F" w:rsidP="00E116BE">
      <w:r>
        <w:t xml:space="preserve">The measurement groupings </w:t>
      </w:r>
      <w:r w:rsidR="00FE7551">
        <w:t xml:space="preserve">are intended to structure how registered participants </w:t>
      </w:r>
      <w:r w:rsidR="00BE3438">
        <w:t xml:space="preserve">will </w:t>
      </w:r>
      <w:r w:rsidR="00FE7551">
        <w:t xml:space="preserve">report </w:t>
      </w:r>
      <w:r w:rsidR="00BE3438">
        <w:t xml:space="preserve">information used to estimate emissions. These measurement groupings </w:t>
      </w:r>
      <w:r w:rsidR="0026760D">
        <w:t xml:space="preserve">can include individual modules, multiple modules or all relevant modules for the product facility. </w:t>
      </w:r>
      <w:r w:rsidR="00E116BE">
        <w:t xml:space="preserve">The measurement groupings </w:t>
      </w:r>
      <w:r w:rsidR="00790F98">
        <w:t>are intended to provide a high degree of flexibility for registered participants in how they wish to meter their inputs and emissions, as long as all relevant emissions sources are covered</w:t>
      </w:r>
      <w:r w:rsidR="1FE0A828">
        <w:t xml:space="preserve"> (Figure 2)</w:t>
      </w:r>
      <w:r w:rsidR="00790F98">
        <w:t xml:space="preserve">. </w:t>
      </w:r>
    </w:p>
    <w:p w14:paraId="603A2A1B" w14:textId="29ED84BA" w:rsidR="00621A7C" w:rsidRDefault="00790F98" w:rsidP="00781E65">
      <w:r>
        <w:t>The Clean Energy Regulator</w:t>
      </w:r>
      <w:r w:rsidR="34710187">
        <w:t xml:space="preserve"> (CER)</w:t>
      </w:r>
      <w:r>
        <w:t xml:space="preserve"> will develop guidelines in the future to </w:t>
      </w:r>
      <w:r w:rsidR="000B6123">
        <w:t>assist with defining</w:t>
      </w:r>
      <w:r>
        <w:t xml:space="preserve"> reasonable measurement grouping options. </w:t>
      </w:r>
    </w:p>
    <w:p w14:paraId="2E80CDC3" w14:textId="5E3D5491" w:rsidR="007004BB" w:rsidRDefault="007004BB" w:rsidP="00584378">
      <w:pPr>
        <w:jc w:val="center"/>
      </w:pPr>
      <w:r>
        <w:rPr>
          <w:noProof/>
        </w:rPr>
        <w:drawing>
          <wp:inline distT="0" distB="0" distL="0" distR="0" wp14:anchorId="497D9BEA" wp14:editId="49938B61">
            <wp:extent cx="5616000" cy="27420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5616000" cy="2742069"/>
                    </a:xfrm>
                    <a:prstGeom prst="rect">
                      <a:avLst/>
                    </a:prstGeom>
                  </pic:spPr>
                </pic:pic>
              </a:graphicData>
            </a:graphic>
          </wp:inline>
        </w:drawing>
      </w:r>
    </w:p>
    <w:p w14:paraId="6D92A197" w14:textId="7F500F59" w:rsidR="7E3AB859" w:rsidRDefault="7E3AB859" w:rsidP="0EB23E14">
      <w:pPr>
        <w:jc w:val="center"/>
        <w:rPr>
          <w:b/>
          <w:bCs/>
          <w:i/>
          <w:iCs/>
        </w:rPr>
      </w:pPr>
      <w:r w:rsidRPr="0EB23E14">
        <w:rPr>
          <w:b/>
          <w:bCs/>
          <w:i/>
          <w:iCs/>
        </w:rPr>
        <w:t xml:space="preserve">Figure 2 Measurement grouping for the operational boundary. </w:t>
      </w:r>
    </w:p>
    <w:p w14:paraId="2D75C2C1" w14:textId="021B5A24" w:rsidR="00781E65" w:rsidRDefault="00781E65" w:rsidP="00665ABC">
      <w:r>
        <w:t xml:space="preserve">The scope of the GO scheme discussed above means that there may be attributable, non-attributable and shared processes within the product facility. </w:t>
      </w:r>
      <w:r w:rsidR="00465763">
        <w:t>The default assumption will be that all emissions sources within the product facility bounds are attributable to the product being certified.</w:t>
      </w:r>
      <w:r w:rsidR="00F74E31">
        <w:t xml:space="preserve"> </w:t>
      </w:r>
      <w:r>
        <w:t xml:space="preserve">The registered participants will be able to identify where processes </w:t>
      </w:r>
      <w:r w:rsidR="0060272C">
        <w:t>within the product facility are non-attributable or shared processes.</w:t>
      </w:r>
      <w:r w:rsidR="00727266">
        <w:t xml:space="preserve"> </w:t>
      </w:r>
    </w:p>
    <w:p w14:paraId="026794D2" w14:textId="0ECABE67" w:rsidR="003676F6" w:rsidRPr="003676F6" w:rsidRDefault="003676F6" w:rsidP="00F3462E">
      <w:pPr>
        <w:keepNext/>
        <w:spacing w:before="240" w:after="120"/>
        <w:rPr>
          <w:b/>
          <w:bCs/>
        </w:rPr>
      </w:pPr>
      <w:r>
        <w:rPr>
          <w:b/>
          <w:bCs/>
        </w:rPr>
        <w:t>Non-attributable processes</w:t>
      </w:r>
    </w:p>
    <w:p w14:paraId="22329CA5" w14:textId="5B3707C8" w:rsidR="00444D70" w:rsidRDefault="00F74E31" w:rsidP="000B19D7">
      <w:r>
        <w:t xml:space="preserve">The non-attributable processes </w:t>
      </w:r>
      <w:r w:rsidR="000539AD">
        <w:t xml:space="preserve">are a component of the product facility that are not within scope for the </w:t>
      </w:r>
      <w:r w:rsidR="00C15C92">
        <w:t>emissions accounting methodology. As an example, a facility may have a measurement grouping that covers electricity used in the electrolysis module.</w:t>
      </w:r>
      <w:r w:rsidR="00F058A5">
        <w:t xml:space="preserve"> This electricity may include attributable processes </w:t>
      </w:r>
      <w:r w:rsidR="006D08C5">
        <w:t>for electricity that is used to power the electrolysis unit</w:t>
      </w:r>
      <w:r w:rsidR="00FD4A32">
        <w:t>. H</w:t>
      </w:r>
      <w:r w:rsidR="006D08C5">
        <w:t>owever</w:t>
      </w:r>
      <w:r w:rsidR="00FD4A32">
        <w:t>,</w:t>
      </w:r>
      <w:r w:rsidR="006D08C5">
        <w:t xml:space="preserve"> it may also include a non-attributable process </w:t>
      </w:r>
      <w:r w:rsidR="00CB772D">
        <w:t xml:space="preserve">for electricity used to provide lighting for crew quarters. </w:t>
      </w:r>
    </w:p>
    <w:p w14:paraId="53BEB69F" w14:textId="5F4CA41E" w:rsidR="002E28AF" w:rsidRDefault="00AA23B9" w:rsidP="00D13EC6">
      <w:r>
        <w:t>The quantity of a</w:t>
      </w:r>
      <w:r w:rsidR="008D5C8E">
        <w:t>n</w:t>
      </w:r>
      <w:r w:rsidR="002A12C7">
        <w:t xml:space="preserve"> input</w:t>
      </w:r>
      <w:r>
        <w:t xml:space="preserve"> used in a non-attributable process and its associated emissions </w:t>
      </w:r>
      <w:r w:rsidR="005A4CA5">
        <w:t>can</w:t>
      </w:r>
      <w:r>
        <w:t xml:space="preserve"> be removed from the emissions calculation of the measurement grouping. </w:t>
      </w:r>
      <w:r w:rsidR="00A83E0E">
        <w:t xml:space="preserve">The product profile registration process will allow for </w:t>
      </w:r>
      <w:r w:rsidR="007A1ECC">
        <w:t>nominated person’s to either model or directly measure the split between attributable and non-attributable processes.</w:t>
      </w:r>
    </w:p>
    <w:p w14:paraId="08545FA2" w14:textId="2E0C8202" w:rsidR="00B7295C" w:rsidRDefault="00493C88" w:rsidP="00D13EC6">
      <w:r>
        <w:t xml:space="preserve">The Clean Energy Regulator will develop guidelines to specify </w:t>
      </w:r>
      <w:r w:rsidR="001D65DF">
        <w:t xml:space="preserve">how the split needs to be modelled to ensure </w:t>
      </w:r>
      <w:r w:rsidR="00493075">
        <w:t xml:space="preserve">it represents average operating conditions. </w:t>
      </w:r>
      <w:r w:rsidR="00EF3807">
        <w:t>If the nominated person elects to directly measure the split</w:t>
      </w:r>
      <w:r w:rsidR="00972F21">
        <w:t xml:space="preserve"> between these processes, they will need to report this information as part of the claim process. </w:t>
      </w:r>
    </w:p>
    <w:p w14:paraId="2DD1D769" w14:textId="45C8DC8F" w:rsidR="003676F6" w:rsidRPr="003676F6" w:rsidRDefault="003676F6" w:rsidP="00F3462E">
      <w:pPr>
        <w:keepNext/>
        <w:spacing w:before="240" w:after="120"/>
        <w:rPr>
          <w:b/>
          <w:bCs/>
        </w:rPr>
      </w:pPr>
      <w:r>
        <w:rPr>
          <w:b/>
          <w:bCs/>
        </w:rPr>
        <w:t>Shared processes</w:t>
      </w:r>
    </w:p>
    <w:p w14:paraId="47E0D5F8" w14:textId="5EA8F290" w:rsidR="003676F6" w:rsidRDefault="003676F6" w:rsidP="00D13EC6">
      <w:r>
        <w:t>The shared processes may be used to produce both the registered product and a recognised co-product</w:t>
      </w:r>
      <w:r w:rsidR="00EB4BB1">
        <w:t>, which is a product with independent value produced alongside hydrogen</w:t>
      </w:r>
      <w:r>
        <w:t xml:space="preserve">. These processes will also need to be identified as part of registering the product profile alongside any evidentiary requirements to prove the co-products were consumed. The approach to </w:t>
      </w:r>
      <w:r w:rsidR="00C66C13">
        <w:t xml:space="preserve">estimating and setting </w:t>
      </w:r>
      <w:r>
        <w:t xml:space="preserve">co-product allocations is detailed in </w:t>
      </w:r>
      <w:r w:rsidR="0087125A">
        <w:fldChar w:fldCharType="begin"/>
      </w:r>
      <w:r w:rsidR="0087125A">
        <w:instrText xml:space="preserve"> REF _Ref140523033 \r \h </w:instrText>
      </w:r>
      <w:r w:rsidR="0087125A">
        <w:fldChar w:fldCharType="separate"/>
      </w:r>
      <w:r w:rsidR="00785FEC">
        <w:t>Section 3.1.5</w:t>
      </w:r>
      <w:r w:rsidR="0087125A">
        <w:fldChar w:fldCharType="end"/>
      </w:r>
      <w:r>
        <w:t>.</w:t>
      </w:r>
    </w:p>
    <w:p w14:paraId="1522C99A" w14:textId="469E33A4" w:rsidR="009B6FA0" w:rsidRDefault="009B6FA0" w:rsidP="00A9785E">
      <w:pPr>
        <w:pStyle w:val="Heading4"/>
        <w:numPr>
          <w:ilvl w:val="0"/>
          <w:numId w:val="0"/>
        </w:numPr>
      </w:pPr>
      <w:bookmarkStart w:id="127" w:name="_Ref130476835"/>
      <w:r>
        <w:t>Batch period</w:t>
      </w:r>
      <w:bookmarkEnd w:id="127"/>
    </w:p>
    <w:p w14:paraId="729CC3BA" w14:textId="50A9786B" w:rsidR="009B6FA0" w:rsidRPr="00BE4D93" w:rsidRDefault="009B6FA0" w:rsidP="009B6FA0">
      <w:pPr>
        <w:rPr>
          <w:iCs/>
        </w:rPr>
      </w:pPr>
      <w:r w:rsidRPr="00BE4D93">
        <w:rPr>
          <w:iCs/>
        </w:rPr>
        <w:t>When submitting a creation claim, scheme participants will be able to set their own batch period for the registered product they are producing under the GO scheme. They will</w:t>
      </w:r>
      <w:r w:rsidRPr="00BE4D93" w:rsidDel="001B2C03">
        <w:rPr>
          <w:iCs/>
        </w:rPr>
        <w:t xml:space="preserve"> </w:t>
      </w:r>
      <w:r w:rsidRPr="00BE4D93">
        <w:rPr>
          <w:iCs/>
        </w:rPr>
        <w:t>provide a batch start time and batch end time for the GOs they are seeking to create. This start and end time is then used to create the batch period. The minimum interval of time for a batch period is one hour and the maximum interval is 12 months. A claim period may include many batch periods but must not exceed 12 months in a single claim.  A batch period start must be the same as the end of the preceding batch period, to make sure that no unreported periods exist.</w:t>
      </w:r>
    </w:p>
    <w:p w14:paraId="030DABE9" w14:textId="2E8BFE17" w:rsidR="009B6FA0" w:rsidRPr="00BE4D93" w:rsidRDefault="005932A8" w:rsidP="009B6FA0">
      <w:pPr>
        <w:rPr>
          <w:iCs/>
        </w:rPr>
      </w:pPr>
      <w:r w:rsidRPr="00BE4D93">
        <w:rPr>
          <w:iCs/>
        </w:rPr>
        <w:fldChar w:fldCharType="begin"/>
      </w:r>
      <w:r w:rsidRPr="00BE4D93">
        <w:rPr>
          <w:iCs/>
        </w:rPr>
        <w:instrText xml:space="preserve"> REF _Ref140523115 \r \h </w:instrText>
      </w:r>
      <w:r w:rsidR="00BE4D93" w:rsidRPr="00BE4D93">
        <w:rPr>
          <w:iCs/>
        </w:rPr>
        <w:instrText xml:space="preserve"> \* MERGEFORMAT </w:instrText>
      </w:r>
      <w:r w:rsidRPr="00BE4D93">
        <w:rPr>
          <w:iCs/>
        </w:rPr>
      </w:r>
      <w:r w:rsidRPr="00BE4D93">
        <w:rPr>
          <w:iCs/>
        </w:rPr>
        <w:fldChar w:fldCharType="separate"/>
      </w:r>
      <w:r w:rsidR="00785FEC">
        <w:rPr>
          <w:iCs/>
        </w:rPr>
        <w:t>Part 3</w:t>
      </w:r>
      <w:r w:rsidRPr="00BE4D93">
        <w:rPr>
          <w:iCs/>
        </w:rPr>
        <w:fldChar w:fldCharType="end"/>
      </w:r>
      <w:r w:rsidR="009B6FA0" w:rsidRPr="00BE4D93">
        <w:rPr>
          <w:iCs/>
        </w:rPr>
        <w:t xml:space="preserve"> </w:t>
      </w:r>
      <w:r w:rsidR="008D5C8E" w:rsidRPr="00BE4D93">
        <w:rPr>
          <w:iCs/>
        </w:rPr>
        <w:t xml:space="preserve">sets out how </w:t>
      </w:r>
      <w:r w:rsidR="009B6FA0" w:rsidRPr="00BE4D93">
        <w:rPr>
          <w:iCs/>
        </w:rPr>
        <w:t xml:space="preserve">emissions are required to be measured within the batch period. The </w:t>
      </w:r>
      <w:r w:rsidR="00E87469" w:rsidRPr="00BE4D93">
        <w:rPr>
          <w:iCs/>
        </w:rPr>
        <w:t>post-production</w:t>
      </w:r>
      <w:r w:rsidR="009B6FA0" w:rsidRPr="00BE4D93">
        <w:rPr>
          <w:iCs/>
        </w:rPr>
        <w:t xml:space="preserve"> emissions are required to be reported as they apply to the products </w:t>
      </w:r>
      <w:r w:rsidR="005B1CCB" w:rsidRPr="00BE4D93">
        <w:rPr>
          <w:iCs/>
        </w:rPr>
        <w:t xml:space="preserve">produced </w:t>
      </w:r>
      <w:r w:rsidR="009B6FA0" w:rsidRPr="00BE4D93">
        <w:rPr>
          <w:iCs/>
        </w:rPr>
        <w:t xml:space="preserve">within </w:t>
      </w:r>
      <w:r w:rsidR="005B1CCB" w:rsidRPr="00BE4D93">
        <w:rPr>
          <w:iCs/>
        </w:rPr>
        <w:t>the</w:t>
      </w:r>
      <w:r w:rsidR="009B6FA0" w:rsidRPr="00BE4D93">
        <w:rPr>
          <w:iCs/>
        </w:rPr>
        <w:t xml:space="preserve"> batch. </w:t>
      </w:r>
    </w:p>
    <w:p w14:paraId="1A94B5CC" w14:textId="699FD76E" w:rsidR="005366AE" w:rsidRDefault="005366AE">
      <w:pPr>
        <w:rPr>
          <w:rFonts w:asciiTheme="majorHAnsi" w:eastAsiaTheme="majorEastAsia" w:hAnsiTheme="majorHAnsi" w:cstheme="majorBidi"/>
          <w:color w:val="44546A"/>
          <w:sz w:val="40"/>
          <w:szCs w:val="40"/>
        </w:rPr>
      </w:pPr>
      <w:r>
        <w:br w:type="page"/>
      </w:r>
    </w:p>
    <w:p w14:paraId="0B31BEA3" w14:textId="09F61E00" w:rsidR="00680042" w:rsidRDefault="00680042" w:rsidP="00BB357C">
      <w:pPr>
        <w:pStyle w:val="Heading2"/>
        <w:spacing w:before="360"/>
      </w:pPr>
      <w:bookmarkStart w:id="128" w:name="_Toc146029787"/>
      <w:r>
        <w:t>Post-production boundary</w:t>
      </w:r>
      <w:bookmarkEnd w:id="128"/>
    </w:p>
    <w:p w14:paraId="5F47EA84" w14:textId="532A1E5B" w:rsidR="009F16C6" w:rsidRDefault="00FA7FB9" w:rsidP="00FA7FB9">
      <w:r>
        <w:t xml:space="preserve">The post-production boundary encompasses the transport and storage steps that may occur to </w:t>
      </w:r>
      <w:r w:rsidR="00401E54">
        <w:t xml:space="preserve">get </w:t>
      </w:r>
      <w:r>
        <w:t xml:space="preserve">a registered product </w:t>
      </w:r>
      <w:r w:rsidR="00715208">
        <w:t xml:space="preserve">from the point of production </w:t>
      </w:r>
      <w:r w:rsidR="00C545BE">
        <w:t xml:space="preserve">(production gate) </w:t>
      </w:r>
      <w:r w:rsidR="00715208">
        <w:t>to the point of consumption</w:t>
      </w:r>
      <w:r w:rsidR="00C545BE">
        <w:t xml:space="preserve"> (delivery gate)</w:t>
      </w:r>
      <w:r w:rsidR="00715208">
        <w:t xml:space="preserve">. </w:t>
      </w:r>
      <w:r w:rsidR="000425A5">
        <w:t xml:space="preserve">Similar to the </w:t>
      </w:r>
      <w:r w:rsidR="00080AC2">
        <w:t>production boundary</w:t>
      </w:r>
      <w:r w:rsidR="000425A5">
        <w:t xml:space="preserve">, the post-production boundary sits within the broader system boundary and defines the </w:t>
      </w:r>
      <w:r w:rsidR="00453D05">
        <w:t xml:space="preserve">production </w:t>
      </w:r>
      <w:r w:rsidR="000425A5">
        <w:t>gate-to-</w:t>
      </w:r>
      <w:r w:rsidR="00880724">
        <w:t>delivery gate</w:t>
      </w:r>
      <w:r w:rsidR="000425A5">
        <w:t xml:space="preserve"> </w:t>
      </w:r>
      <w:r w:rsidR="00A6717A">
        <w:t xml:space="preserve">portion of the emissions accounting methodology. </w:t>
      </w:r>
      <w:r w:rsidR="00A861A7">
        <w:t xml:space="preserve">Unlike the </w:t>
      </w:r>
      <w:r w:rsidR="00080AC2">
        <w:t>production boundary</w:t>
      </w:r>
      <w:r w:rsidR="00A861A7">
        <w:t xml:space="preserve">, the </w:t>
      </w:r>
      <w:r w:rsidR="00B16214">
        <w:t>post-</w:t>
      </w:r>
      <w:r w:rsidR="00A07EDB">
        <w:t>production</w:t>
      </w:r>
      <w:r w:rsidR="00B16214">
        <w:t xml:space="preserve"> boundary can have considerably greater variability as supply chains after the point of production may involve multiple storage and transport steps</w:t>
      </w:r>
      <w:r w:rsidR="00174A12">
        <w:t>.</w:t>
      </w:r>
    </w:p>
    <w:p w14:paraId="2F429713" w14:textId="3F624DAC" w:rsidR="00A6717A" w:rsidRDefault="005F403E" w:rsidP="00FA7FB9">
      <w:r>
        <w:t xml:space="preserve">There are two points throughout the supply chain that </w:t>
      </w:r>
      <w:r w:rsidR="00D67007">
        <w:t xml:space="preserve">help to define the scope of the post-production boundary. These are the point of production </w:t>
      </w:r>
      <w:r w:rsidR="00D622CE">
        <w:t xml:space="preserve">which is reported </w:t>
      </w:r>
      <w:r w:rsidR="00200868">
        <w:t>in the product</w:t>
      </w:r>
      <w:r w:rsidR="005A0E18">
        <w:t>ion</w:t>
      </w:r>
      <w:r w:rsidR="00200868">
        <w:t xml:space="preserve"> profile, and the point of consumption which is reported in the consumption profile. The</w:t>
      </w:r>
      <w:r w:rsidR="00E81875">
        <w:t xml:space="preserve"> mass balance approach</w:t>
      </w:r>
      <w:r w:rsidR="002C2ECB">
        <w:t xml:space="preserve"> discussed in more detail in the scheme design paper sets out that </w:t>
      </w:r>
      <w:r w:rsidR="00774E61">
        <w:t xml:space="preserve">there must be a </w:t>
      </w:r>
      <w:r w:rsidR="00E81875">
        <w:t>‘</w:t>
      </w:r>
      <w:r w:rsidR="00774E61">
        <w:t>reasonable physical link</w:t>
      </w:r>
      <w:r w:rsidR="00E81875">
        <w:t>’</w:t>
      </w:r>
      <w:r w:rsidR="005B1CCB">
        <w:t xml:space="preserve"> </w:t>
      </w:r>
      <w:r w:rsidR="00774E61">
        <w:t xml:space="preserve">between the point of production and point of consumption </w:t>
      </w:r>
      <w:r w:rsidR="007F3B8C">
        <w:t>for Product GO</w:t>
      </w:r>
      <w:r w:rsidR="00DF49D0">
        <w:t xml:space="preserve"> certificate</w:t>
      </w:r>
      <w:r w:rsidR="007F3B8C">
        <w:t xml:space="preserve">s. </w:t>
      </w:r>
      <w:r w:rsidR="008C6179">
        <w:t>T</w:t>
      </w:r>
      <w:r w:rsidR="00B53D8C">
        <w:t xml:space="preserve">ogether these two locations and the </w:t>
      </w:r>
      <w:r w:rsidR="00E310DD">
        <w:t xml:space="preserve">requirement for a </w:t>
      </w:r>
      <w:r w:rsidR="00B53D8C">
        <w:t>reasonable physical link between them set the post-production boundary.</w:t>
      </w:r>
    </w:p>
    <w:p w14:paraId="46AA30FD" w14:textId="699FD76E" w:rsidR="00680042" w:rsidRDefault="00E43FC2" w:rsidP="00680042">
      <w:r>
        <w:t>The relevant</w:t>
      </w:r>
      <w:r w:rsidR="00B979DA">
        <w:t xml:space="preserve"> emissions attributable to</w:t>
      </w:r>
      <w:r>
        <w:t xml:space="preserve"> transport and storage steps</w:t>
      </w:r>
      <w:r w:rsidR="00B979DA">
        <w:t xml:space="preserve">, as well as associated product losses, </w:t>
      </w:r>
      <w:r>
        <w:t xml:space="preserve">that occur to get the product from its point of production to its point of consumption must be reported under the GO scheme. </w:t>
      </w:r>
      <w:r w:rsidR="00653F9B">
        <w:t>How this information is reported and the verification checks to ensure the reasonable physical link is maintained is covered in the scheme design paper.</w:t>
      </w:r>
    </w:p>
    <w:p w14:paraId="3B0DA134" w14:textId="41C9E7B9" w:rsidR="00C7126B" w:rsidRDefault="009867A2" w:rsidP="00B905A9">
      <w:pPr>
        <w:pStyle w:val="Calloutbox"/>
        <w:keepNext/>
        <w:contextualSpacing w:val="0"/>
        <w:rPr>
          <w:b/>
          <w:bCs/>
        </w:rPr>
      </w:pPr>
      <w:r>
        <w:rPr>
          <w:b/>
          <w:bCs/>
        </w:rPr>
        <w:t>GO Calculator user guide</w:t>
      </w:r>
      <w:r w:rsidR="00C7126B">
        <w:rPr>
          <w:b/>
          <w:bCs/>
        </w:rPr>
        <w:t xml:space="preserve"> – </w:t>
      </w:r>
      <w:r w:rsidR="00916FD4">
        <w:rPr>
          <w:b/>
          <w:bCs/>
        </w:rPr>
        <w:t>Post</w:t>
      </w:r>
      <w:r w:rsidR="00FA1AE7">
        <w:rPr>
          <w:b/>
          <w:bCs/>
        </w:rPr>
        <w:t>-production</w:t>
      </w:r>
      <w:r w:rsidR="00C7126B">
        <w:rPr>
          <w:b/>
          <w:bCs/>
        </w:rPr>
        <w:t xml:space="preserve"> boundary</w:t>
      </w:r>
    </w:p>
    <w:p w14:paraId="18FB6A64" w14:textId="79CB8649" w:rsidR="00C7126B" w:rsidRPr="00EC3E91" w:rsidRDefault="006F71FE" w:rsidP="00310E81">
      <w:pPr>
        <w:pStyle w:val="Calloutbox"/>
        <w:keepNext/>
      </w:pPr>
      <w:r>
        <w:t xml:space="preserve">Users will be able to </w:t>
      </w:r>
      <w:r w:rsidR="00947EE9">
        <w:t>input</w:t>
      </w:r>
      <w:r>
        <w:t xml:space="preserve"> information about the </w:t>
      </w:r>
      <w:r w:rsidR="00310E81">
        <w:t xml:space="preserve">transport and storage processes throughout the post-production boundary in the “Transport </w:t>
      </w:r>
      <w:r w:rsidR="006B30A9">
        <w:t xml:space="preserve">&amp; </w:t>
      </w:r>
      <w:r w:rsidR="00310E81">
        <w:t>Storage</w:t>
      </w:r>
      <w:r w:rsidR="006B30A9">
        <w:t xml:space="preserve"> – Hydrogen</w:t>
      </w:r>
      <w:r w:rsidR="00310E81">
        <w:t>” tab.</w:t>
      </w:r>
      <w:r w:rsidR="00C7126B">
        <w:t xml:space="preserve"> </w:t>
      </w:r>
      <w:r w:rsidR="006B30A9">
        <w:t xml:space="preserve">The details are split out by </w:t>
      </w:r>
      <w:r w:rsidR="00055BE4">
        <w:t>storage and transport using vehicles and pipelines</w:t>
      </w:r>
      <w:r w:rsidR="009D197B">
        <w:t>.</w:t>
      </w:r>
      <w:r w:rsidR="0064585E">
        <w:t xml:space="preserve"> More information on </w:t>
      </w:r>
      <w:r w:rsidR="00A56F2D">
        <w:t>the transport and storage information and how it is input into the calculator is available in Part 3.</w:t>
      </w:r>
    </w:p>
    <w:p w14:paraId="197C7A2B" w14:textId="699FD76E" w:rsidR="005366AE" w:rsidRDefault="005366AE">
      <w:pPr>
        <w:rPr>
          <w:rFonts w:asciiTheme="majorHAnsi" w:eastAsiaTheme="majorEastAsia" w:hAnsiTheme="majorHAnsi" w:cstheme="majorBidi"/>
          <w:color w:val="44546A"/>
          <w:sz w:val="40"/>
          <w:szCs w:val="40"/>
        </w:rPr>
      </w:pPr>
      <w:r>
        <w:br w:type="page"/>
      </w:r>
    </w:p>
    <w:p w14:paraId="6B4D211D" w14:textId="41EE12B4" w:rsidR="0009331D" w:rsidRDefault="0009331D" w:rsidP="00BB357C">
      <w:pPr>
        <w:pStyle w:val="Heading2"/>
        <w:spacing w:before="360"/>
      </w:pPr>
      <w:bookmarkStart w:id="129" w:name="_Toc146029788"/>
      <w:r>
        <w:t>Greenhouse gas</w:t>
      </w:r>
      <w:r w:rsidR="00184403">
        <w:t xml:space="preserve">es </w:t>
      </w:r>
      <w:r w:rsidR="008209F3">
        <w:t>considered</w:t>
      </w:r>
      <w:bookmarkEnd w:id="129"/>
    </w:p>
    <w:p w14:paraId="130CBD10" w14:textId="42FD823E" w:rsidR="00111660" w:rsidRDefault="00171D22" w:rsidP="00FC0192">
      <w:r>
        <w:t xml:space="preserve">The greenhouse gases and the related global warming potentials </w:t>
      </w:r>
      <w:r w:rsidR="00A83776">
        <w:t>(GWPs)</w:t>
      </w:r>
      <w:r w:rsidR="006B25F3">
        <w:t xml:space="preserve"> </w:t>
      </w:r>
      <w:r>
        <w:t xml:space="preserve">considered in the GO scheme’s emissions accounting approach </w:t>
      </w:r>
      <w:r w:rsidR="00790E4C">
        <w:t>are based on th</w:t>
      </w:r>
      <w:r w:rsidR="00492F4F">
        <w:t xml:space="preserve">e </w:t>
      </w:r>
      <w:hyperlink r:id="rId18" w:history="1">
        <w:r w:rsidR="00492F4F" w:rsidRPr="00492F4F">
          <w:rPr>
            <w:rStyle w:val="Hyperlink"/>
          </w:rPr>
          <w:t xml:space="preserve">GWPs </w:t>
        </w:r>
        <w:r w:rsidR="00790E4C" w:rsidRPr="00492F4F">
          <w:rPr>
            <w:rStyle w:val="Hyperlink"/>
          </w:rPr>
          <w:t>used in NGER</w:t>
        </w:r>
      </w:hyperlink>
      <w:r w:rsidR="00790E4C">
        <w:t xml:space="preserve">. </w:t>
      </w:r>
      <w:r w:rsidR="00371FAE">
        <w:t>Th</w:t>
      </w:r>
      <w:r w:rsidR="00F95EC4">
        <w:t xml:space="preserve">e current approach is based on the </w:t>
      </w:r>
      <w:r>
        <w:t>Intergovernmental Panel on Climate Change’s</w:t>
      </w:r>
      <w:r w:rsidR="00160DBD">
        <w:t xml:space="preserve"> (IPCC’s)</w:t>
      </w:r>
      <w:r>
        <w:t xml:space="preserve"> Fifth assessment report. </w:t>
      </w:r>
      <w:r w:rsidR="004B3DF1">
        <w:t xml:space="preserve">The GO scheme is proposed to require ongoing updates to ensure that the </w:t>
      </w:r>
      <w:r w:rsidR="007D7609">
        <w:t xml:space="preserve">approach to measuring </w:t>
      </w:r>
      <w:r w:rsidR="004B3DF1">
        <w:t>greenhouse gas</w:t>
      </w:r>
      <w:r w:rsidR="007D7609">
        <w:t xml:space="preserve">es is consistent with </w:t>
      </w:r>
      <w:r w:rsidR="000D5A00">
        <w:t>NGER</w:t>
      </w:r>
      <w:r w:rsidR="00A83776">
        <w:t xml:space="preserve">. </w:t>
      </w:r>
    </w:p>
    <w:p w14:paraId="7626FDC3" w14:textId="73F291C7" w:rsidR="00E44B95" w:rsidRDefault="00A83776" w:rsidP="00184403">
      <w:r>
        <w:t xml:space="preserve">GWPs </w:t>
      </w:r>
      <w:r w:rsidR="00E55B8B">
        <w:t>allow for the direct comparison of the impact of different greenhouse gases</w:t>
      </w:r>
      <w:r w:rsidR="005910BA">
        <w:t xml:space="preserve"> in the atmosphere by comparing how much energy </w:t>
      </w:r>
      <w:r w:rsidR="001326EE">
        <w:t xml:space="preserve">the emissions of </w:t>
      </w:r>
      <w:r w:rsidR="005910BA">
        <w:t>one tonne of a gas will absorb compared to</w:t>
      </w:r>
      <w:r w:rsidR="00FF06A1">
        <w:t xml:space="preserve"> the emissions of</w:t>
      </w:r>
      <w:r w:rsidR="005910BA">
        <w:t xml:space="preserve"> one tonne of carbon dioxide.</w:t>
      </w:r>
      <w:r w:rsidR="006C14F2">
        <w:t xml:space="preserve"> </w:t>
      </w:r>
      <w:r w:rsidR="005910BA">
        <w:t xml:space="preserve">The greenhouse gases </w:t>
      </w:r>
      <w:r w:rsidR="00E44B95">
        <w:t>and their associated GWPs listed by the IPCC that are relevant to the GO scheme’s accounting methodology are available in the table below.</w:t>
      </w:r>
    </w:p>
    <w:p w14:paraId="202245C9" w14:textId="55A8C311" w:rsidR="00D77895" w:rsidRDefault="00D77895" w:rsidP="00621A7C">
      <w:pPr>
        <w:pStyle w:val="Table"/>
        <w:keepNext/>
        <w:spacing w:before="200"/>
      </w:pPr>
      <w:r>
        <w:t xml:space="preserve">Table </w:t>
      </w:r>
      <w:r w:rsidR="008B7434">
        <w:t>1.4</w:t>
      </w:r>
      <w:r>
        <w:t xml:space="preserve"> Greenhouse gases and GWPs</w:t>
      </w:r>
    </w:p>
    <w:tbl>
      <w:tblPr>
        <w:tblStyle w:val="PlainTable1"/>
        <w:tblW w:w="5000" w:type="pct"/>
        <w:tblLook w:val="04A0" w:firstRow="1" w:lastRow="0" w:firstColumn="1" w:lastColumn="0" w:noHBand="0" w:noVBand="1"/>
      </w:tblPr>
      <w:tblGrid>
        <w:gridCol w:w="4274"/>
        <w:gridCol w:w="4742"/>
      </w:tblGrid>
      <w:tr w:rsidR="00D77895" w:rsidRPr="00C948B3" w14:paraId="249F9958" w14:textId="77777777" w:rsidTr="00D3580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70" w:type="pct"/>
            <w:shd w:val="clear" w:color="auto" w:fill="AEAAAA" w:themeFill="background2" w:themeFillShade="BF"/>
            <w:vAlign w:val="center"/>
          </w:tcPr>
          <w:p w14:paraId="05BDB54C" w14:textId="01F907DB" w:rsidR="00D77895" w:rsidRPr="00C948B3" w:rsidRDefault="00D77895" w:rsidP="00F17F8E">
            <w:r>
              <w:t>Greenhouse gas</w:t>
            </w:r>
          </w:p>
        </w:tc>
        <w:tc>
          <w:tcPr>
            <w:tcW w:w="2630" w:type="pct"/>
            <w:shd w:val="clear" w:color="auto" w:fill="AEAAAA" w:themeFill="background2" w:themeFillShade="BF"/>
            <w:vAlign w:val="center"/>
          </w:tcPr>
          <w:p w14:paraId="59E0E4F9" w14:textId="6D4A37E4" w:rsidR="00D77895" w:rsidRPr="00C948B3" w:rsidRDefault="00D77895" w:rsidP="00F17F8E">
            <w:pPr>
              <w:cnfStyle w:val="100000000000" w:firstRow="1" w:lastRow="0" w:firstColumn="0" w:lastColumn="0" w:oddVBand="0" w:evenVBand="0" w:oddHBand="0" w:evenHBand="0" w:firstRowFirstColumn="0" w:firstRowLastColumn="0" w:lastRowFirstColumn="0" w:lastRowLastColumn="0"/>
            </w:pPr>
            <w:r>
              <w:t>Global Warming Potential</w:t>
            </w:r>
          </w:p>
        </w:tc>
      </w:tr>
      <w:tr w:rsidR="00610FD3" w14:paraId="52D59F7C" w14:textId="77777777" w:rsidTr="00D358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70" w:type="pct"/>
            <w:vAlign w:val="center"/>
          </w:tcPr>
          <w:p w14:paraId="19CA86E9" w14:textId="538C2487" w:rsidR="00610FD3" w:rsidRDefault="00610FD3" w:rsidP="00F17F8E">
            <w:r>
              <w:t>Carbon dioxide (CO</w:t>
            </w:r>
            <w:r>
              <w:rPr>
                <w:vertAlign w:val="subscript"/>
              </w:rPr>
              <w:t>2</w:t>
            </w:r>
            <w:r>
              <w:t>)</w:t>
            </w:r>
          </w:p>
        </w:tc>
        <w:tc>
          <w:tcPr>
            <w:tcW w:w="2630" w:type="pct"/>
            <w:vAlign w:val="center"/>
          </w:tcPr>
          <w:p w14:paraId="1FB91CF7" w14:textId="4262414F" w:rsidR="00610FD3" w:rsidRDefault="00610FD3" w:rsidP="00F17F8E">
            <w:pPr>
              <w:cnfStyle w:val="000000100000" w:firstRow="0" w:lastRow="0" w:firstColumn="0" w:lastColumn="0" w:oddVBand="0" w:evenVBand="0" w:oddHBand="1" w:evenHBand="0" w:firstRowFirstColumn="0" w:firstRowLastColumn="0" w:lastRowFirstColumn="0" w:lastRowLastColumn="0"/>
            </w:pPr>
            <w:r>
              <w:t>1</w:t>
            </w:r>
          </w:p>
        </w:tc>
      </w:tr>
      <w:tr w:rsidR="00610FD3" w14:paraId="19B8C774" w14:textId="77777777" w:rsidTr="00D3580F">
        <w:trPr>
          <w:trHeight w:val="397"/>
        </w:trPr>
        <w:tc>
          <w:tcPr>
            <w:cnfStyle w:val="001000000000" w:firstRow="0" w:lastRow="0" w:firstColumn="1" w:lastColumn="0" w:oddVBand="0" w:evenVBand="0" w:oddHBand="0" w:evenHBand="0" w:firstRowFirstColumn="0" w:firstRowLastColumn="0" w:lastRowFirstColumn="0" w:lastRowLastColumn="0"/>
            <w:tcW w:w="2370" w:type="pct"/>
            <w:vAlign w:val="center"/>
          </w:tcPr>
          <w:p w14:paraId="68544930" w14:textId="4E704D9D" w:rsidR="00610FD3" w:rsidRDefault="00610FD3" w:rsidP="00F17F8E">
            <w:pPr>
              <w:ind w:left="360" w:hanging="360"/>
            </w:pPr>
            <w:r>
              <w:t>Methane (CH</w:t>
            </w:r>
            <w:r>
              <w:rPr>
                <w:vertAlign w:val="subscript"/>
              </w:rPr>
              <w:t>4</w:t>
            </w:r>
            <w:r>
              <w:t>)</w:t>
            </w:r>
          </w:p>
        </w:tc>
        <w:tc>
          <w:tcPr>
            <w:tcW w:w="2630" w:type="pct"/>
            <w:vAlign w:val="center"/>
          </w:tcPr>
          <w:p w14:paraId="306901C8" w14:textId="455E58AD" w:rsidR="00610FD3" w:rsidRDefault="00610FD3" w:rsidP="00F17F8E">
            <w:pPr>
              <w:cnfStyle w:val="000000000000" w:firstRow="0" w:lastRow="0" w:firstColumn="0" w:lastColumn="0" w:oddVBand="0" w:evenVBand="0" w:oddHBand="0" w:evenHBand="0" w:firstRowFirstColumn="0" w:firstRowLastColumn="0" w:lastRowFirstColumn="0" w:lastRowLastColumn="0"/>
            </w:pPr>
            <w:r>
              <w:t>28</w:t>
            </w:r>
          </w:p>
        </w:tc>
      </w:tr>
      <w:tr w:rsidR="00610FD3" w14:paraId="429D723D" w14:textId="77777777" w:rsidTr="00D358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70" w:type="pct"/>
            <w:vAlign w:val="center"/>
          </w:tcPr>
          <w:p w14:paraId="60C8651C" w14:textId="4F7CBA1E" w:rsidR="00610FD3" w:rsidRDefault="00610FD3" w:rsidP="00F17F8E">
            <w:pPr>
              <w:ind w:left="360" w:hanging="360"/>
            </w:pPr>
            <w:r>
              <w:t>Nitrous Oxide (N</w:t>
            </w:r>
            <w:r>
              <w:rPr>
                <w:vertAlign w:val="subscript"/>
              </w:rPr>
              <w:t>2</w:t>
            </w:r>
            <w:r>
              <w:t>O)</w:t>
            </w:r>
          </w:p>
        </w:tc>
        <w:tc>
          <w:tcPr>
            <w:tcW w:w="2630" w:type="pct"/>
            <w:vAlign w:val="center"/>
          </w:tcPr>
          <w:p w14:paraId="1F48DD62" w14:textId="7EFCDF7F" w:rsidR="00610FD3" w:rsidRDefault="00610FD3" w:rsidP="00F17F8E">
            <w:pPr>
              <w:cnfStyle w:val="000000100000" w:firstRow="0" w:lastRow="0" w:firstColumn="0" w:lastColumn="0" w:oddVBand="0" w:evenVBand="0" w:oddHBand="1" w:evenHBand="0" w:firstRowFirstColumn="0" w:firstRowLastColumn="0" w:lastRowFirstColumn="0" w:lastRowLastColumn="0"/>
            </w:pPr>
            <w:r>
              <w:t>265</w:t>
            </w:r>
          </w:p>
        </w:tc>
      </w:tr>
      <w:tr w:rsidR="00610FD3" w14:paraId="2AA37AF4" w14:textId="77777777" w:rsidTr="00D3580F">
        <w:trPr>
          <w:trHeight w:val="624"/>
        </w:trPr>
        <w:tc>
          <w:tcPr>
            <w:cnfStyle w:val="001000000000" w:firstRow="0" w:lastRow="0" w:firstColumn="1" w:lastColumn="0" w:oddVBand="0" w:evenVBand="0" w:oddHBand="0" w:evenHBand="0" w:firstRowFirstColumn="0" w:firstRowLastColumn="0" w:lastRowFirstColumn="0" w:lastRowLastColumn="0"/>
            <w:tcW w:w="2370" w:type="pct"/>
            <w:vAlign w:val="center"/>
          </w:tcPr>
          <w:p w14:paraId="2D347710" w14:textId="4616F9BB" w:rsidR="00610FD3" w:rsidRDefault="00610FD3" w:rsidP="00F17F8E">
            <w:pPr>
              <w:ind w:left="360" w:hanging="360"/>
            </w:pPr>
            <w:r>
              <w:t>Hydrofluorocarbons (HFCs)</w:t>
            </w:r>
          </w:p>
        </w:tc>
        <w:tc>
          <w:tcPr>
            <w:tcW w:w="2630" w:type="pct"/>
            <w:vAlign w:val="center"/>
          </w:tcPr>
          <w:p w14:paraId="3B8AC533" w14:textId="3C1F1D50" w:rsidR="00610FD3" w:rsidRDefault="00610FD3" w:rsidP="00F17F8E">
            <w:pPr>
              <w:cnfStyle w:val="000000000000" w:firstRow="0" w:lastRow="0" w:firstColumn="0" w:lastColumn="0" w:oddVBand="0" w:evenVBand="0" w:oddHBand="0" w:evenHBand="0" w:firstRowFirstColumn="0" w:firstRowLastColumn="0" w:lastRowFirstColumn="0" w:lastRowLastColumn="0"/>
            </w:pPr>
            <w:r>
              <w:t>Dependent on HFC type</w:t>
            </w:r>
            <w:r w:rsidR="00DB144F">
              <w:t xml:space="preserve"> defined in Appendix B of the </w:t>
            </w:r>
            <w:r w:rsidR="00AF3D9E" w:rsidRPr="00560362">
              <w:t xml:space="preserve">National Greenhouse Accounts (NGA) </w:t>
            </w:r>
            <w:r w:rsidR="00AF3D9E" w:rsidRPr="00941F47">
              <w:t>factors</w:t>
            </w:r>
            <w:r w:rsidR="00A9593F">
              <w:rPr>
                <w:rStyle w:val="FootnoteReference"/>
                <w:color w:val="0563C1" w:themeColor="hyperlink"/>
                <w:u w:val="single"/>
              </w:rPr>
              <w:footnoteReference w:id="2"/>
            </w:r>
            <w:r w:rsidR="00DB144F">
              <w:t xml:space="preserve">. </w:t>
            </w:r>
          </w:p>
        </w:tc>
      </w:tr>
      <w:tr w:rsidR="00610FD3" w14:paraId="44C4FF33" w14:textId="77777777" w:rsidTr="00D3580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70" w:type="pct"/>
            <w:vAlign w:val="center"/>
          </w:tcPr>
          <w:p w14:paraId="5CB099C9" w14:textId="4F917AE0" w:rsidR="00610FD3" w:rsidRDefault="00610FD3" w:rsidP="00F17F8E">
            <w:pPr>
              <w:ind w:left="360" w:hanging="360"/>
            </w:pPr>
            <w:r>
              <w:t>Sulphur hexafluoride (SF</w:t>
            </w:r>
            <w:r>
              <w:rPr>
                <w:vertAlign w:val="subscript"/>
              </w:rPr>
              <w:t>6</w:t>
            </w:r>
            <w:r>
              <w:softHyphen/>
              <w:t>)</w:t>
            </w:r>
          </w:p>
        </w:tc>
        <w:tc>
          <w:tcPr>
            <w:tcW w:w="2630" w:type="pct"/>
            <w:vAlign w:val="center"/>
          </w:tcPr>
          <w:p w14:paraId="399898FA" w14:textId="4C813BEB" w:rsidR="00610FD3" w:rsidRDefault="00610FD3" w:rsidP="00F17F8E">
            <w:pPr>
              <w:cnfStyle w:val="000000100000" w:firstRow="0" w:lastRow="0" w:firstColumn="0" w:lastColumn="0" w:oddVBand="0" w:evenVBand="0" w:oddHBand="1" w:evenHBand="0" w:firstRowFirstColumn="0" w:firstRowLastColumn="0" w:lastRowFirstColumn="0" w:lastRowLastColumn="0"/>
            </w:pPr>
            <w:r>
              <w:t>2</w:t>
            </w:r>
            <w:r w:rsidR="00430E51">
              <w:t>3</w:t>
            </w:r>
            <w:r>
              <w:t>,</w:t>
            </w:r>
            <w:r w:rsidR="00430E51">
              <w:t>5</w:t>
            </w:r>
            <w:r>
              <w:t>00</w:t>
            </w:r>
          </w:p>
        </w:tc>
      </w:tr>
    </w:tbl>
    <w:p w14:paraId="384077FB" w14:textId="0FEB95CF" w:rsidR="00272603" w:rsidRDefault="009867A2" w:rsidP="00B905A9">
      <w:pPr>
        <w:pStyle w:val="Calloutbox"/>
        <w:keepNext/>
        <w:spacing w:before="240"/>
        <w:contextualSpacing w:val="0"/>
        <w:rPr>
          <w:b/>
          <w:bCs/>
        </w:rPr>
      </w:pPr>
      <w:bookmarkStart w:id="130" w:name="_Ref131010558"/>
      <w:bookmarkStart w:id="131" w:name="_Ref130552708"/>
      <w:r>
        <w:rPr>
          <w:b/>
          <w:bCs/>
        </w:rPr>
        <w:t>GO Calculator user guide</w:t>
      </w:r>
      <w:r w:rsidR="00272603">
        <w:rPr>
          <w:b/>
          <w:bCs/>
        </w:rPr>
        <w:t xml:space="preserve"> – Global warming potentials</w:t>
      </w:r>
    </w:p>
    <w:p w14:paraId="1C47A31D" w14:textId="32262768" w:rsidR="00272603" w:rsidRPr="00EC3E91" w:rsidRDefault="00850AF1" w:rsidP="00272603">
      <w:pPr>
        <w:pStyle w:val="Calloutbox"/>
        <w:keepNext/>
      </w:pPr>
      <w:r>
        <w:t>T</w:t>
      </w:r>
      <w:r w:rsidR="00272603">
        <w:t xml:space="preserve">hese GWP values </w:t>
      </w:r>
      <w:r w:rsidR="00751CC1">
        <w:t xml:space="preserve">used </w:t>
      </w:r>
      <w:r w:rsidR="00391C5A">
        <w:t>in the Scheme</w:t>
      </w:r>
      <w:r w:rsidR="00272603">
        <w:t xml:space="preserve"> are</w:t>
      </w:r>
      <w:r w:rsidR="00391C5A">
        <w:t xml:space="preserve"> listed </w:t>
      </w:r>
      <w:r w:rsidR="00272603">
        <w:t>in the “Key Values” tab</w:t>
      </w:r>
      <w:r w:rsidRPr="00850AF1">
        <w:t xml:space="preserve"> </w:t>
      </w:r>
      <w:r>
        <w:t>of the GO Calculator</w:t>
      </w:r>
      <w:r w:rsidR="00272603">
        <w:t xml:space="preserve">. </w:t>
      </w:r>
      <w:r w:rsidR="00204EB9">
        <w:t>Users will not need to input these</w:t>
      </w:r>
      <w:r w:rsidR="007904D5">
        <w:t xml:space="preserve"> value</w:t>
      </w:r>
      <w:r w:rsidR="00C86D00">
        <w:t>s</w:t>
      </w:r>
      <w:r w:rsidR="007904D5">
        <w:t>.</w:t>
      </w:r>
    </w:p>
    <w:p w14:paraId="40CA1C12" w14:textId="77777777" w:rsidR="00015FB3" w:rsidRDefault="00015FB3">
      <w:pPr>
        <w:rPr>
          <w:rFonts w:asciiTheme="majorHAnsi" w:eastAsiaTheme="majorEastAsia" w:hAnsiTheme="majorHAnsi" w:cstheme="majorBidi"/>
          <w:color w:val="44546A"/>
          <w:sz w:val="40"/>
          <w:szCs w:val="48"/>
        </w:rPr>
      </w:pPr>
      <w:r>
        <w:br w:type="page"/>
      </w:r>
    </w:p>
    <w:p w14:paraId="75B8EC92" w14:textId="1A68C7EA" w:rsidR="006540AD" w:rsidRDefault="006540AD" w:rsidP="00BB357C">
      <w:pPr>
        <w:pStyle w:val="Heading2"/>
        <w:spacing w:before="360"/>
      </w:pPr>
      <w:bookmarkStart w:id="132" w:name="_Toc146029789"/>
      <w:r>
        <w:t>Materiality threshold</w:t>
      </w:r>
      <w:bookmarkEnd w:id="132"/>
    </w:p>
    <w:p w14:paraId="1606972C" w14:textId="762AF1BA" w:rsidR="009971A6" w:rsidRDefault="0010386A" w:rsidP="006540AD">
      <w:r>
        <w:t xml:space="preserve">The GO scheme will </w:t>
      </w:r>
      <w:r w:rsidR="001C0D4D">
        <w:t>apply a materiality threshold</w:t>
      </w:r>
      <w:r w:rsidR="004E397B">
        <w:t xml:space="preserve"> to the </w:t>
      </w:r>
      <w:r w:rsidR="00080AC2">
        <w:t>production boundary</w:t>
      </w:r>
      <w:r w:rsidR="001C0D4D">
        <w:t xml:space="preserve">, which is a limit below which an emissions source does not need to be measured and reported as it is considered immaterial. </w:t>
      </w:r>
      <w:r w:rsidR="000F6FAB">
        <w:t>The emissions sources listed as part of the product facility above will need to be reported regardless of their materiality. However</w:t>
      </w:r>
      <w:r w:rsidR="00870487">
        <w:t>,</w:t>
      </w:r>
      <w:r w:rsidR="000F6FAB">
        <w:t xml:space="preserve"> </w:t>
      </w:r>
      <w:r w:rsidR="009A5D5D">
        <w:t>in addition to these emissions sources, any other emissions sources will also need to be reported where they exceed the materiality threshold.</w:t>
      </w:r>
    </w:p>
    <w:p w14:paraId="6C2666F3" w14:textId="5ADD5E29" w:rsidR="007C5EBA" w:rsidRDefault="00E07299" w:rsidP="007C5EBA">
      <w:r>
        <w:t xml:space="preserve">The materiality threshold will be set at 2.5% of the </w:t>
      </w:r>
      <w:r w:rsidR="49D731BD">
        <w:t>total</w:t>
      </w:r>
      <w:r>
        <w:t xml:space="preserve"> emissions from </w:t>
      </w:r>
      <w:r w:rsidR="3D26A856">
        <w:t xml:space="preserve">each source </w:t>
      </w:r>
      <w:r w:rsidR="6C267509">
        <w:t xml:space="preserve">within </w:t>
      </w:r>
      <w:r>
        <w:t xml:space="preserve">the </w:t>
      </w:r>
      <w:r w:rsidR="00080AC2">
        <w:t>production boundary</w:t>
      </w:r>
      <w:r>
        <w:t>.</w:t>
      </w:r>
      <w:r w:rsidR="00D37613">
        <w:t xml:space="preserve"> </w:t>
      </w:r>
      <w:r w:rsidR="007C5EBA">
        <w:t xml:space="preserve">Where an emissions source is not listed </w:t>
      </w:r>
      <w:r w:rsidR="0B372728">
        <w:t xml:space="preserve">in </w:t>
      </w:r>
      <w:r w:rsidR="008B7434">
        <w:t xml:space="preserve"> Table 1.1 or Table 1.2 </w:t>
      </w:r>
      <w:r w:rsidR="0022188C">
        <w:t>and</w:t>
      </w:r>
      <w:r w:rsidR="002D46F7">
        <w:t xml:space="preserve"> </w:t>
      </w:r>
      <w:r w:rsidR="007C5EBA">
        <w:t>exceeds this threshold, they will need to be reported. Where an emissions source is below this threshold</w:t>
      </w:r>
      <w:r w:rsidR="00870487">
        <w:t>,</w:t>
      </w:r>
      <w:r w:rsidR="007C5EBA">
        <w:t xml:space="preserve"> they will need to be recorded but will not require detailed measurement or reporting.</w:t>
      </w:r>
      <w:r w:rsidR="00B6434A">
        <w:t xml:space="preserve"> This approach was</w:t>
      </w:r>
      <w:r w:rsidR="0054647D">
        <w:t xml:space="preserve"> considered in the </w:t>
      </w:r>
      <w:r w:rsidR="00EC2E9B">
        <w:t xml:space="preserve">last </w:t>
      </w:r>
      <w:r w:rsidR="0054647D">
        <w:t>consultation paper</w:t>
      </w:r>
      <w:r w:rsidR="00EC2E9B">
        <w:t xml:space="preserve"> released in December 2022 and </w:t>
      </w:r>
      <w:r w:rsidR="007750ED">
        <w:t>received majority support</w:t>
      </w:r>
      <w:r w:rsidR="008E2623">
        <w:t xml:space="preserve"> from the respondents.</w:t>
      </w:r>
    </w:p>
    <w:p w14:paraId="29AB1DC8" w14:textId="6D7E1154" w:rsidR="007C5EBA" w:rsidRPr="006540AD" w:rsidRDefault="00A50B98" w:rsidP="007C5EBA">
      <w:r>
        <w:t xml:space="preserve">If </w:t>
      </w:r>
      <w:r w:rsidR="00870487">
        <w:t>another</w:t>
      </w:r>
      <w:r>
        <w:t xml:space="preserve"> emissions source is required to be estimated under the NGER scheme and it is within the GO scheme’s scope it must be reported even if it is below the materiality threshold.</w:t>
      </w:r>
    </w:p>
    <w:p w14:paraId="69880AE9" w14:textId="3C7CC031" w:rsidR="00543610" w:rsidRPr="003B5FA3" w:rsidRDefault="009867A2" w:rsidP="00E07A46">
      <w:pPr>
        <w:pStyle w:val="Calloutbox"/>
        <w:keepNext/>
        <w:contextualSpacing w:val="0"/>
        <w:rPr>
          <w:b/>
          <w:bCs/>
        </w:rPr>
      </w:pPr>
      <w:r>
        <w:rPr>
          <w:b/>
          <w:bCs/>
        </w:rPr>
        <w:t>GO Calculator user guide</w:t>
      </w:r>
      <w:r w:rsidR="00381739">
        <w:rPr>
          <w:b/>
          <w:bCs/>
        </w:rPr>
        <w:t xml:space="preserve"> </w:t>
      </w:r>
      <w:r w:rsidR="00E61169">
        <w:rPr>
          <w:b/>
          <w:bCs/>
        </w:rPr>
        <w:t xml:space="preserve">– </w:t>
      </w:r>
      <w:r w:rsidR="00272603">
        <w:rPr>
          <w:b/>
          <w:bCs/>
        </w:rPr>
        <w:t xml:space="preserve">Including material emissions </w:t>
      </w:r>
    </w:p>
    <w:p w14:paraId="23178A14" w14:textId="0169DFEF" w:rsidR="00026B9F" w:rsidRDefault="00EE42DE" w:rsidP="00F253D1">
      <w:pPr>
        <w:pStyle w:val="Calloutbox"/>
        <w:spacing w:after="120" w:line="276" w:lineRule="auto"/>
        <w:contextualSpacing w:val="0"/>
      </w:pPr>
      <w:r>
        <w:t>Where there are other material emissions</w:t>
      </w:r>
      <w:r w:rsidR="00CE2E7D">
        <w:t xml:space="preserve"> </w:t>
      </w:r>
      <w:r w:rsidR="006A31A0">
        <w:t>outside those listed above</w:t>
      </w:r>
      <w:r w:rsidR="00BA49BC">
        <w:t>,</w:t>
      </w:r>
      <w:r w:rsidR="00AC27D8">
        <w:t xml:space="preserve"> they can be input </w:t>
      </w:r>
      <w:r w:rsidR="00C10C42">
        <w:t xml:space="preserve">in the </w:t>
      </w:r>
      <w:r w:rsidR="006B0879" w:rsidRPr="00C10C42">
        <w:rPr>
          <w:i/>
          <w:iCs/>
        </w:rPr>
        <w:t>OTHER EMISSIONS</w:t>
      </w:r>
      <w:r w:rsidR="00C10C42">
        <w:t xml:space="preserve"> section of</w:t>
      </w:r>
      <w:r w:rsidR="005435C5">
        <w:t xml:space="preserve"> each production pathway tab</w:t>
      </w:r>
      <w:r w:rsidR="004129A2">
        <w:t>.</w:t>
      </w:r>
    </w:p>
    <w:p w14:paraId="3E564625" w14:textId="77777777" w:rsidR="00756381" w:rsidRDefault="00756381">
      <w:pPr>
        <w:rPr>
          <w:rFonts w:asciiTheme="majorHAnsi" w:eastAsiaTheme="majorEastAsia" w:hAnsiTheme="majorHAnsi" w:cstheme="majorBidi"/>
          <w:color w:val="44546A" w:themeColor="text2"/>
          <w:sz w:val="48"/>
          <w:szCs w:val="32"/>
        </w:rPr>
      </w:pPr>
      <w:r>
        <w:br w:type="page"/>
      </w:r>
    </w:p>
    <w:p w14:paraId="58D370C8" w14:textId="0919D03C" w:rsidR="00195D8F" w:rsidRDefault="00195D8F" w:rsidP="00195D8F">
      <w:pPr>
        <w:pStyle w:val="Heading1"/>
      </w:pPr>
      <w:bookmarkStart w:id="133" w:name="_Toc146029790"/>
      <w:r>
        <w:t>Emissions intensity values</w:t>
      </w:r>
      <w:bookmarkEnd w:id="133"/>
    </w:p>
    <w:tbl>
      <w:tblPr>
        <w:tblStyle w:val="TableGrid"/>
        <w:tblpPr w:leftFromText="180" w:rightFromText="180" w:vertAnchor="text" w:horzAnchor="margin" w:tblpY="-46"/>
        <w:tblW w:w="0" w:type="auto"/>
        <w:tblLook w:val="04A0" w:firstRow="1" w:lastRow="0" w:firstColumn="1" w:lastColumn="0" w:noHBand="0" w:noVBand="1"/>
      </w:tblPr>
      <w:tblGrid>
        <w:gridCol w:w="9006"/>
      </w:tblGrid>
      <w:tr w:rsidR="00400D16" w14:paraId="7B234392" w14:textId="77777777" w:rsidTr="003967B0">
        <w:trPr>
          <w:trHeight w:val="1587"/>
        </w:trPr>
        <w:tc>
          <w:tcPr>
            <w:tcW w:w="9006" w:type="dxa"/>
            <w:shd w:val="clear" w:color="auto" w:fill="D9D9D9" w:themeFill="background1" w:themeFillShade="D9"/>
          </w:tcPr>
          <w:p w14:paraId="03210AB4" w14:textId="77777777" w:rsidR="004B54AC" w:rsidRPr="00F604EC" w:rsidRDefault="004B54AC" w:rsidP="003967B0">
            <w:pPr>
              <w:spacing w:before="120"/>
              <w:rPr>
                <w:b/>
                <w:bCs/>
              </w:rPr>
            </w:pPr>
            <w:r>
              <w:rPr>
                <w:b/>
                <w:bCs/>
              </w:rPr>
              <w:t>Feedback sought:</w:t>
            </w:r>
          </w:p>
          <w:p w14:paraId="13B2911D" w14:textId="3C17C204" w:rsidR="004B54AC" w:rsidRDefault="004B54AC" w:rsidP="003967B0">
            <w:pPr>
              <w:spacing w:before="120" w:after="120"/>
            </w:pPr>
            <w:r>
              <w:t xml:space="preserve">The Department is seeking feedback on </w:t>
            </w:r>
            <w:r w:rsidR="002C6002">
              <w:t>the approach to calculating the emissions intensity on GO Certificates</w:t>
            </w:r>
            <w:r w:rsidR="00FF0CC6">
              <w:t>, including which information should be reported upfront in profiles and which information should be provided as part of claiming GO Certificates.</w:t>
            </w:r>
          </w:p>
        </w:tc>
      </w:tr>
    </w:tbl>
    <w:p w14:paraId="69E70001" w14:textId="77777777" w:rsidR="002953F6" w:rsidRDefault="008E4A2E" w:rsidP="002953F6">
      <w:pPr>
        <w:spacing w:before="120"/>
      </w:pPr>
      <w:r>
        <w:t xml:space="preserve">The creation process for Product GO Certificates </w:t>
      </w:r>
      <w:r w:rsidR="00DF22CF">
        <w:t xml:space="preserve">is described in </w:t>
      </w:r>
      <w:r w:rsidR="00E15A71">
        <w:t>Part 3 of the Scheme Design paper and involves</w:t>
      </w:r>
      <w:r>
        <w:t xml:space="preserve"> collecting batch specific data </w:t>
      </w:r>
      <w:r w:rsidR="00E15A71">
        <w:t xml:space="preserve">then </w:t>
      </w:r>
      <w:r>
        <w:t>combining it with profile data</w:t>
      </w:r>
      <w:r w:rsidR="00E15A71">
        <w:t xml:space="preserve">. </w:t>
      </w:r>
      <w:r w:rsidR="00EF4425">
        <w:t>Throughout the process</w:t>
      </w:r>
      <w:r>
        <w:t xml:space="preserve"> the emissions </w:t>
      </w:r>
      <w:r w:rsidR="00EF4425">
        <w:t xml:space="preserve">intensity of the </w:t>
      </w:r>
      <w:r>
        <w:t xml:space="preserve">registered </w:t>
      </w:r>
      <w:r w:rsidR="00080AC2">
        <w:t xml:space="preserve">production </w:t>
      </w:r>
      <w:r w:rsidR="002953F6">
        <w:t xml:space="preserve">is estimated across the production </w:t>
      </w:r>
      <w:r>
        <w:t xml:space="preserve">and post-production boundary. </w:t>
      </w:r>
    </w:p>
    <w:p w14:paraId="429A9A2C" w14:textId="70D30155" w:rsidR="00195D8F" w:rsidRDefault="00351FE5" w:rsidP="00AF41E2">
      <w:pPr>
        <w:spacing w:before="120"/>
      </w:pPr>
      <w:r>
        <w:t>Emissions intensity values will be calculated by aggregating the e</w:t>
      </w:r>
      <w:r w:rsidR="00625065">
        <w:t>missions associated within each boundary and then dividing this by the to</w:t>
      </w:r>
      <w:r w:rsidR="00F82123">
        <w:t>t</w:t>
      </w:r>
      <w:r w:rsidR="00625065">
        <w:t xml:space="preserve">al quantity of product represented in terms of its functional unit. </w:t>
      </w:r>
      <w:r w:rsidR="00195D8F">
        <w:t>This will result in a value that is the carbon dioxide equivalent per functional unit of product, for hydrogen this would be k</w:t>
      </w:r>
      <w:r w:rsidR="00AB5623">
        <w:t>ilograms of</w:t>
      </w:r>
      <w:r w:rsidR="00195D8F">
        <w:t xml:space="preserve"> </w:t>
      </w:r>
      <w:r w:rsidR="00AB5623">
        <w:t>carbon dioxide equivalent</w:t>
      </w:r>
      <w:r w:rsidR="00195D8F">
        <w:t xml:space="preserve"> per k</w:t>
      </w:r>
      <w:r w:rsidR="00AB5623">
        <w:t>ilogram of</w:t>
      </w:r>
      <w:r w:rsidR="00195D8F">
        <w:t xml:space="preserve"> </w:t>
      </w:r>
      <w:r w:rsidR="00900F47">
        <w:t>h</w:t>
      </w:r>
      <w:r w:rsidR="00195D8F">
        <w:t>ydrogen</w:t>
      </w:r>
      <w:r w:rsidR="00AB5623">
        <w:t xml:space="preserve"> (kg CO</w:t>
      </w:r>
      <w:r w:rsidR="00AB5623" w:rsidRPr="00AB5623">
        <w:rPr>
          <w:vertAlign w:val="subscript"/>
        </w:rPr>
        <w:t>2</w:t>
      </w:r>
      <w:r w:rsidR="00AB5623">
        <w:t>-e/kg H</w:t>
      </w:r>
      <w:r w:rsidR="00AB5623" w:rsidRPr="00AB5623">
        <w:rPr>
          <w:vertAlign w:val="subscript"/>
        </w:rPr>
        <w:t>2</w:t>
      </w:r>
      <w:r w:rsidR="00AB5623">
        <w:t>)</w:t>
      </w:r>
      <w:r w:rsidR="00195D8F">
        <w:t>.</w:t>
      </w:r>
    </w:p>
    <w:p w14:paraId="5E22E9EE" w14:textId="24BAA9BF" w:rsidR="00D32C6B" w:rsidRDefault="00195D8F" w:rsidP="00195D8F">
      <w:r>
        <w:t>The</w:t>
      </w:r>
      <w:r w:rsidR="0FAAF869">
        <w:t xml:space="preserve"> certificate will display</w:t>
      </w:r>
      <w:r>
        <w:t xml:space="preserve"> several emissions </w:t>
      </w:r>
      <w:r w:rsidDel="00591C09">
        <w:t xml:space="preserve">intensity </w:t>
      </w:r>
      <w:r>
        <w:t>values that</w:t>
      </w:r>
      <w:r w:rsidR="00F8266B">
        <w:t xml:space="preserve"> contribute to the overall emissions intensity</w:t>
      </w:r>
      <w:r w:rsidR="00BE7DBF">
        <w:t>, which captures</w:t>
      </w:r>
      <w:r w:rsidR="00D32C6B">
        <w:t xml:space="preserve"> the</w:t>
      </w:r>
      <w:r w:rsidR="00BE7DBF">
        <w:t xml:space="preserve"> emissions intensity across the system boundary per unit delivered. It is the sum of:</w:t>
      </w:r>
      <w:r w:rsidR="00BC1AEE">
        <w:t xml:space="preserve"> </w:t>
      </w:r>
    </w:p>
    <w:p w14:paraId="09CF3AF0" w14:textId="3FE27DE9" w:rsidR="00BE7DBF" w:rsidRDefault="00BE7DBF" w:rsidP="00BE7DBF">
      <w:pPr>
        <w:pStyle w:val="ListParagraph"/>
        <w:numPr>
          <w:ilvl w:val="0"/>
          <w:numId w:val="5"/>
        </w:numPr>
      </w:pPr>
      <w:r>
        <w:t>The production boundary emissions intensity, which captures the well-to-production gate emissions per unit produced.</w:t>
      </w:r>
      <w:r w:rsidR="00314EC0">
        <w:t xml:space="preserve"> This information is reported as part of initiating the Product GO </w:t>
      </w:r>
      <w:r w:rsidR="00653395">
        <w:t xml:space="preserve">Certificate </w:t>
      </w:r>
      <w:r w:rsidR="00314EC0">
        <w:t xml:space="preserve">Creation process. </w:t>
      </w:r>
    </w:p>
    <w:p w14:paraId="1B12A1DE" w14:textId="5FC62907" w:rsidR="00314EC0" w:rsidRDefault="00314EC0" w:rsidP="00BE7DBF">
      <w:pPr>
        <w:pStyle w:val="ListParagraph"/>
        <w:numPr>
          <w:ilvl w:val="0"/>
          <w:numId w:val="5"/>
        </w:numPr>
      </w:pPr>
      <w:r>
        <w:t xml:space="preserve">The post-production </w:t>
      </w:r>
      <w:r w:rsidR="003F6919">
        <w:t>boundary emissions</w:t>
      </w:r>
      <w:r w:rsidR="003F6919" w:rsidDel="00591C09">
        <w:t xml:space="preserve"> intensity</w:t>
      </w:r>
      <w:r w:rsidR="003F6919">
        <w:t xml:space="preserve">, which captures the </w:t>
      </w:r>
      <w:r w:rsidR="00A662A0">
        <w:t xml:space="preserve">production </w:t>
      </w:r>
      <w:r w:rsidR="649116BB">
        <w:t>gate</w:t>
      </w:r>
      <w:r w:rsidR="00B72323">
        <w:t>-</w:t>
      </w:r>
      <w:r w:rsidR="003F6919">
        <w:t>to</w:t>
      </w:r>
      <w:r w:rsidR="00B72323">
        <w:t>-</w:t>
      </w:r>
      <w:r w:rsidR="00A662A0">
        <w:t xml:space="preserve">delivery gate </w:t>
      </w:r>
      <w:r w:rsidR="003F6919">
        <w:t xml:space="preserve">emissions </w:t>
      </w:r>
      <w:r w:rsidR="003F6919" w:rsidDel="00591C09">
        <w:t xml:space="preserve">per unit </w:t>
      </w:r>
      <w:r w:rsidR="002B5922">
        <w:t>delivered</w:t>
      </w:r>
      <w:r w:rsidR="003F6919">
        <w:t xml:space="preserve">. </w:t>
      </w:r>
      <w:r>
        <w:t xml:space="preserve">This information is reported as part of completing the Product GO </w:t>
      </w:r>
      <w:r w:rsidR="00653395">
        <w:t xml:space="preserve">Certificate </w:t>
      </w:r>
      <w:r>
        <w:t xml:space="preserve">Creation process. </w:t>
      </w:r>
    </w:p>
    <w:p w14:paraId="2EA8B997" w14:textId="55E60A20" w:rsidR="003F6919" w:rsidRDefault="00543218" w:rsidP="00D32C6B">
      <w:pPr>
        <w:pStyle w:val="ListParagraph"/>
        <w:numPr>
          <w:ilvl w:val="0"/>
          <w:numId w:val="5"/>
        </w:numPr>
      </w:pPr>
      <w:r>
        <w:t xml:space="preserve">A loss correction term </w:t>
      </w:r>
      <w:r w:rsidR="008A1B43">
        <w:t xml:space="preserve">to spread the production emissions attributable to </w:t>
      </w:r>
      <w:r w:rsidR="001364A5">
        <w:t xml:space="preserve">lost </w:t>
      </w:r>
      <w:r w:rsidR="008A1B43">
        <w:t xml:space="preserve">product across the </w:t>
      </w:r>
      <w:r w:rsidR="001364A5">
        <w:t>delivered</w:t>
      </w:r>
      <w:r w:rsidR="008A1B43">
        <w:t xml:space="preserve"> quantity. This information is calculated </w:t>
      </w:r>
      <w:r w:rsidR="001130C2">
        <w:t xml:space="preserve">as part of completing the Product GO </w:t>
      </w:r>
      <w:r w:rsidR="00653395">
        <w:t xml:space="preserve">Certificate </w:t>
      </w:r>
      <w:r w:rsidR="001130C2">
        <w:t xml:space="preserve">Creation process. </w:t>
      </w:r>
    </w:p>
    <w:p w14:paraId="03537156" w14:textId="77777777" w:rsidR="00B057F1" w:rsidRDefault="00FB0F79" w:rsidP="004054E4">
      <w:r>
        <w:t xml:space="preserve">This section covers how these emissions </w:t>
      </w:r>
      <w:r w:rsidDel="00E4442E">
        <w:t xml:space="preserve">intensity </w:t>
      </w:r>
      <w:r>
        <w:t>values are proposed to be calculated</w:t>
      </w:r>
      <w:r w:rsidR="00497394">
        <w:t xml:space="preserve">. Part 3 of this paper provides guidance on how emissions </w:t>
      </w:r>
      <w:r w:rsidR="00F32AF8">
        <w:t xml:space="preserve">from various sources </w:t>
      </w:r>
      <w:r w:rsidR="00497394">
        <w:t xml:space="preserve">should be </w:t>
      </w:r>
      <w:r w:rsidR="0061330C">
        <w:t xml:space="preserve">estimated </w:t>
      </w:r>
      <w:r w:rsidR="00BF6D89">
        <w:t>for use in the emissions intensity calculations</w:t>
      </w:r>
      <w:r w:rsidR="00C455B0">
        <w:t xml:space="preserve">. </w:t>
      </w:r>
    </w:p>
    <w:p w14:paraId="332F928F" w14:textId="55324D9B" w:rsidR="00B057F1" w:rsidRPr="003B5FA3" w:rsidRDefault="00B057F1" w:rsidP="00E07A46">
      <w:pPr>
        <w:pStyle w:val="Calloutbox"/>
        <w:keepNext/>
        <w:contextualSpacing w:val="0"/>
        <w:rPr>
          <w:b/>
          <w:bCs/>
        </w:rPr>
      </w:pPr>
      <w:r>
        <w:rPr>
          <w:b/>
          <w:bCs/>
        </w:rPr>
        <w:t xml:space="preserve">GO Calculator user guide – </w:t>
      </w:r>
      <w:r w:rsidR="007478FB">
        <w:rPr>
          <w:b/>
          <w:bCs/>
        </w:rPr>
        <w:t>“</w:t>
      </w:r>
      <w:r>
        <w:rPr>
          <w:b/>
          <w:bCs/>
        </w:rPr>
        <w:t>Certificate</w:t>
      </w:r>
      <w:r w:rsidR="007478FB">
        <w:rPr>
          <w:b/>
          <w:bCs/>
        </w:rPr>
        <w:t>” tab</w:t>
      </w:r>
      <w:r>
        <w:rPr>
          <w:b/>
          <w:bCs/>
        </w:rPr>
        <w:t xml:space="preserve"> </w:t>
      </w:r>
    </w:p>
    <w:p w14:paraId="43165922" w14:textId="23A46769" w:rsidR="00B057F1" w:rsidRDefault="00814D27" w:rsidP="00B057F1">
      <w:pPr>
        <w:pStyle w:val="Calloutbox"/>
        <w:spacing w:after="120" w:line="276" w:lineRule="auto"/>
        <w:contextualSpacing w:val="0"/>
      </w:pPr>
      <w:r>
        <w:t xml:space="preserve">The “Certificate” tab </w:t>
      </w:r>
      <w:r w:rsidR="00595D4B">
        <w:t xml:space="preserve">displays the emissions intensity estimates and other relevant information </w:t>
      </w:r>
      <w:r w:rsidR="00FD322B">
        <w:t>which could be included on GO Certificates</w:t>
      </w:r>
      <w:r w:rsidR="00595D4B">
        <w:t xml:space="preserve">. </w:t>
      </w:r>
      <w:r w:rsidR="00AC5125">
        <w:t xml:space="preserve">This tab also </w:t>
      </w:r>
      <w:r w:rsidR="001B1B70">
        <w:t xml:space="preserve">provides </w:t>
      </w:r>
      <w:r w:rsidR="00996365">
        <w:t xml:space="preserve">graphical </w:t>
      </w:r>
      <w:r w:rsidR="00F62656">
        <w:t>re</w:t>
      </w:r>
      <w:r w:rsidR="00F26615">
        <w:t xml:space="preserve">presentation of emissions </w:t>
      </w:r>
      <w:r w:rsidR="00996365">
        <w:t xml:space="preserve">breakdowns </w:t>
      </w:r>
      <w:r w:rsidR="00173D78">
        <w:t xml:space="preserve">from various </w:t>
      </w:r>
      <w:r w:rsidR="00996365">
        <w:t xml:space="preserve">emissions sources. </w:t>
      </w:r>
    </w:p>
    <w:p w14:paraId="5BED8F25" w14:textId="77777777" w:rsidR="00756381" w:rsidRDefault="00756381">
      <w:pPr>
        <w:rPr>
          <w:rFonts w:asciiTheme="majorHAnsi" w:eastAsiaTheme="majorEastAsia" w:hAnsiTheme="majorHAnsi" w:cstheme="majorBidi"/>
          <w:color w:val="44546A"/>
          <w:sz w:val="40"/>
          <w:szCs w:val="48"/>
        </w:rPr>
      </w:pPr>
      <w:r>
        <w:br w:type="page"/>
      </w:r>
    </w:p>
    <w:p w14:paraId="6E050027" w14:textId="06D95DBB" w:rsidR="00195D8F" w:rsidRPr="00867ECE" w:rsidRDefault="00195D8F" w:rsidP="002C70EE">
      <w:pPr>
        <w:pStyle w:val="Heading2"/>
        <w:spacing w:before="360"/>
      </w:pPr>
      <w:bookmarkStart w:id="134" w:name="_Toc146029791"/>
      <w:r>
        <w:t>Overall emissions intensity</w:t>
      </w:r>
      <w:bookmarkEnd w:id="134"/>
    </w:p>
    <w:p w14:paraId="50E3C9FC" w14:textId="3DEC8FAE" w:rsidR="00195D8F" w:rsidRDefault="00195D8F" w:rsidP="00195D8F">
      <w:r>
        <w:t xml:space="preserve">The overall emissions intensity value summarises the emissions throughout the entire system boundary per kilogram of </w:t>
      </w:r>
      <w:r w:rsidR="1878DE57">
        <w:t>product</w:t>
      </w:r>
      <w:r>
        <w:t xml:space="preserve"> </w:t>
      </w:r>
      <w:r w:rsidR="007A29C9">
        <w:t>delivered</w:t>
      </w:r>
      <w:r>
        <w:t>.</w:t>
      </w:r>
      <w:r w:rsidDel="00F95243">
        <w:t xml:space="preserve"> </w:t>
      </w:r>
      <w:r>
        <w:t xml:space="preserve"> The system boundary emission intensity is the sum of the </w:t>
      </w:r>
      <w:r w:rsidR="00080AC2">
        <w:t>production boundary</w:t>
      </w:r>
      <w:r>
        <w:t xml:space="preserve"> emissions intensity, post-production emissions intensity and a loss correction term. </w:t>
      </w:r>
    </w:p>
    <w:tbl>
      <w:tblPr>
        <w:tblStyle w:val="CERCallout"/>
        <w:tblpPr w:leftFromText="180" w:rightFromText="180" w:vertAnchor="text" w:tblpY="1"/>
        <w:tblOverlap w:val="never"/>
        <w:tblW w:w="5000" w:type="pct"/>
        <w:tblLook w:val="0480" w:firstRow="0" w:lastRow="0" w:firstColumn="1" w:lastColumn="0" w:noHBand="0" w:noVBand="1"/>
        <w:tblCaption w:val="test"/>
        <w:tblDescription w:val="tesst"/>
      </w:tblPr>
      <w:tblGrid>
        <w:gridCol w:w="8996"/>
      </w:tblGrid>
      <w:tr w:rsidR="00195D8F" w14:paraId="75D2E280" w14:textId="77777777" w:rsidTr="00A75A3B">
        <w:trPr>
          <w:cantSplit w:val="0"/>
        </w:trPr>
        <w:tc>
          <w:tcPr>
            <w:tcW w:w="0" w:type="pct"/>
          </w:tcPr>
          <w:p w14:paraId="4DC89F17" w14:textId="77777777" w:rsidR="00195D8F" w:rsidRPr="00C209F1" w:rsidRDefault="00195D8F" w:rsidP="00C923F0">
            <w:pPr>
              <w:pStyle w:val="Heading4"/>
              <w:numPr>
                <w:ilvl w:val="3"/>
                <w:numId w:val="0"/>
              </w:numPr>
              <w:spacing w:before="0" w:beforeAutospacing="0" w:after="160"/>
              <w:rPr>
                <w:b/>
                <w:bCs/>
                <w:i w:val="0"/>
                <w:iCs/>
              </w:rPr>
            </w:pPr>
            <w:r>
              <w:rPr>
                <w:b/>
                <w:bCs/>
                <w:i w:val="0"/>
                <w:iCs/>
              </w:rPr>
              <w:t>Overall emissions intensity in practice</w:t>
            </w:r>
          </w:p>
          <w:p w14:paraId="248C0754" w14:textId="4BD3D53D" w:rsidR="00195D8F" w:rsidRDefault="00195D8F" w:rsidP="00C923F0">
            <w:pPr>
              <w:spacing w:before="0" w:beforeAutospacing="0" w:after="160"/>
            </w:pPr>
            <w:r>
              <w:t>Facility A produces 1,500 kilograms of hydrogen via coal gasification with CCS</w:t>
            </w:r>
            <w:r w:rsidR="00E71FF8">
              <w:t>,</w:t>
            </w:r>
            <w:r w:rsidR="00031C3C">
              <w:t xml:space="preserve"> with</w:t>
            </w:r>
            <w:r w:rsidR="00C370E8">
              <w:t xml:space="preserve"> 1,480 kilograms</w:t>
            </w:r>
            <w:r w:rsidR="00E71FF8">
              <w:t xml:space="preserve"> </w:t>
            </w:r>
            <w:r w:rsidR="00031C3C">
              <w:t xml:space="preserve">being </w:t>
            </w:r>
            <w:r w:rsidR="00C370E8">
              <w:t>delivered to the delivery gate.</w:t>
            </w:r>
            <w:r>
              <w:t xml:space="preserve"> The </w:t>
            </w:r>
            <w:r w:rsidR="00080AC2">
              <w:t>production boundary</w:t>
            </w:r>
            <w:r>
              <w:t xml:space="preserve"> emissions intensity, post-production emissions intensity and loss correction terms are </w:t>
            </w:r>
            <w:r w:rsidR="00FC6F7A">
              <w:t>5</w:t>
            </w:r>
            <w:r>
              <w:t>.</w:t>
            </w:r>
            <w:r w:rsidR="00FC6F7A">
              <w:t>33</w:t>
            </w:r>
            <w:r>
              <w:t>, 0.</w:t>
            </w:r>
            <w:r w:rsidR="004E76E5">
              <w:t>73</w:t>
            </w:r>
            <w:r>
              <w:t xml:space="preserve"> and 0.</w:t>
            </w:r>
            <w:r w:rsidR="00620C2A">
              <w:t>07</w:t>
            </w:r>
            <w:r>
              <w:t xml:space="preserve"> kg CO</w:t>
            </w:r>
            <w:r w:rsidRPr="00E0151C">
              <w:rPr>
                <w:vertAlign w:val="subscript"/>
              </w:rPr>
              <w:t>2</w:t>
            </w:r>
            <w:r>
              <w:t>-e</w:t>
            </w:r>
            <w:r w:rsidR="006E36D3">
              <w:t>/kg H</w:t>
            </w:r>
            <w:r w:rsidR="006E36D3" w:rsidRPr="00E0151C">
              <w:rPr>
                <w:vertAlign w:val="subscript"/>
              </w:rPr>
              <w:t>2</w:t>
            </w:r>
            <w:r>
              <w:t xml:space="preserve">. </w:t>
            </w:r>
          </w:p>
          <w:p w14:paraId="2B01F06B" w14:textId="77777777" w:rsidR="00195D8F" w:rsidRDefault="00195D8F" w:rsidP="00C923F0">
            <w:pPr>
              <w:spacing w:before="0" w:beforeAutospacing="0" w:after="160"/>
            </w:pPr>
            <w:r>
              <w:t>The gross emissions intensity per unit of product is proposed to be calculated using the below formula:</w:t>
            </w:r>
          </w:p>
          <w:p w14:paraId="0470F69E" w14:textId="3B646D09" w:rsidR="00195D8F" w:rsidRPr="009A053A" w:rsidRDefault="00785FEC" w:rsidP="00C923F0">
            <w:pPr>
              <w:spacing w:before="0" w:beforeAutospacing="0" w:after="160"/>
              <w:rPr>
                <w:b/>
              </w:rPr>
            </w:pPr>
            <m:oMathPara>
              <m:oMath>
                <m:sSub>
                  <m:sSubPr>
                    <m:ctrlPr>
                      <w:rPr>
                        <w:rFonts w:ascii="Cambria Math" w:hAnsi="Cambria Math"/>
                        <w:b/>
                      </w:rPr>
                    </m:ctrlPr>
                  </m:sSubPr>
                  <m:e>
                    <m:r>
                      <m:rPr>
                        <m:sty m:val="bi"/>
                      </m:rPr>
                      <w:rPr>
                        <w:rFonts w:ascii="Cambria Math" w:hAnsi="Cambria Math"/>
                      </w:rPr>
                      <m:t>EI</m:t>
                    </m:r>
                  </m:e>
                  <m:sub>
                    <m:r>
                      <m:rPr>
                        <m:sty m:val="bi"/>
                      </m:rPr>
                      <w:rPr>
                        <w:rFonts w:ascii="Cambria Math" w:hAnsi="Cambria Math"/>
                      </w:rPr>
                      <m:t>overall</m:t>
                    </m:r>
                    <m:r>
                      <m:rPr>
                        <m:sty m:val="b"/>
                      </m:rPr>
                      <w:rPr>
                        <w:rFonts w:ascii="Cambria Math" w:hAnsi="Cambria Math"/>
                      </w:rPr>
                      <m:t xml:space="preserve"> </m:t>
                    </m:r>
                  </m:sub>
                </m:sSub>
                <m:r>
                  <m:rPr>
                    <m:sty m:val="b"/>
                  </m:rPr>
                  <w:rPr>
                    <w:rFonts w:ascii="Cambria Math" w:hAnsi="Cambria Math"/>
                  </w:rPr>
                  <m:t xml:space="preserve">= </m:t>
                </m:r>
                <m:r>
                  <m:rPr>
                    <m:sty m:val="bi"/>
                  </m:rPr>
                  <w:rPr>
                    <w:rFonts w:ascii="Cambria Math" w:hAnsi="Cambria Math"/>
                  </w:rPr>
                  <m:t>E</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production</m:t>
                    </m:r>
                  </m:sub>
                </m:sSub>
                <m:r>
                  <m:rPr>
                    <m:sty m:val="bi"/>
                  </m:rPr>
                  <w:rPr>
                    <w:rFonts w:ascii="Cambria Math" w:hAnsi="Cambria Math"/>
                  </w:rPr>
                  <m:t>+E</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post-production</m:t>
                    </m:r>
                  </m:sub>
                </m:sSub>
                <m:r>
                  <m:rPr>
                    <m:sty m:val="bi"/>
                  </m:rPr>
                  <w:rPr>
                    <w:rFonts w:ascii="Cambria Math" w:hAnsi="Cambria Math"/>
                  </w:rPr>
                  <m:t>+E</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loss correction</m:t>
                    </m:r>
                  </m:sub>
                </m:sSub>
              </m:oMath>
            </m:oMathPara>
          </w:p>
          <w:p w14:paraId="7CB1B248" w14:textId="77777777" w:rsidR="00195D8F" w:rsidRDefault="00195D8F" w:rsidP="00C923F0">
            <w:pPr>
              <w:spacing w:before="0" w:beforeAutospacing="0" w:after="160"/>
            </w:pPr>
            <w:r>
              <w:t>Where:</w:t>
            </w:r>
          </w:p>
          <w:p w14:paraId="48117EC6" w14:textId="5B02F666" w:rsidR="00195D8F" w:rsidRDefault="00002DC7" w:rsidP="00C923F0">
            <w:pPr>
              <w:spacing w:before="0" w:beforeAutospacing="0" w:after="160"/>
              <w:rPr>
                <w:bCs/>
              </w:rPr>
            </w:pPr>
            <m:oMath>
              <m:r>
                <m:rPr>
                  <m:sty m:val="bi"/>
                </m:rPr>
                <w:rPr>
                  <w:rFonts w:ascii="Cambria Math" w:hAnsi="Cambria Math"/>
                </w:rPr>
                <m:t>E</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production</m:t>
                  </m:r>
                </m:sub>
              </m:sSub>
            </m:oMath>
            <w:r w:rsidR="00195D8F">
              <w:rPr>
                <w:b/>
              </w:rPr>
              <w:t xml:space="preserve"> </w:t>
            </w:r>
            <w:r w:rsidR="00195D8F" w:rsidRPr="009A053A">
              <w:rPr>
                <w:bCs/>
              </w:rPr>
              <w:t>is the</w:t>
            </w:r>
            <w:r w:rsidR="00195D8F">
              <w:rPr>
                <w:b/>
              </w:rPr>
              <w:t xml:space="preserve"> </w:t>
            </w:r>
            <w:r w:rsidR="00195D8F">
              <w:rPr>
                <w:bCs/>
              </w:rPr>
              <w:t xml:space="preserve">emissions intensity across </w:t>
            </w:r>
            <w:r w:rsidR="00080AC2">
              <w:rPr>
                <w:bCs/>
              </w:rPr>
              <w:t>production boundary</w:t>
            </w:r>
            <w:r w:rsidR="00195D8F">
              <w:rPr>
                <w:bCs/>
              </w:rPr>
              <w:t>,</w:t>
            </w:r>
            <w:r w:rsidR="00195D8F" w:rsidRPr="00C65C9C">
              <w:rPr>
                <w:bCs/>
              </w:rPr>
              <w:t xml:space="preserve"> </w:t>
            </w:r>
            <m:oMath>
              <m:r>
                <m:rPr>
                  <m:sty m:val="bi"/>
                </m:rPr>
                <w:rPr>
                  <w:rFonts w:ascii="Cambria Math" w:hAnsi="Cambria Math"/>
                </w:rPr>
                <m:t>E</m:t>
              </m:r>
              <m:sSub>
                <m:sSubPr>
                  <m:ctrlPr>
                    <w:rPr>
                      <w:rFonts w:ascii="Cambria Math" w:hAnsi="Cambria Math"/>
                      <w:bCs/>
                    </w:rPr>
                  </m:ctrlPr>
                </m:sSubPr>
                <m:e>
                  <m:r>
                    <m:rPr>
                      <m:sty m:val="bi"/>
                    </m:rPr>
                    <w:rPr>
                      <w:rFonts w:ascii="Cambria Math" w:hAnsi="Cambria Math"/>
                    </w:rPr>
                    <m:t>I</m:t>
                  </m:r>
                </m:e>
                <m:sub>
                  <m:r>
                    <m:rPr>
                      <m:sty m:val="bi"/>
                    </m:rPr>
                    <w:rPr>
                      <w:rFonts w:ascii="Cambria Math" w:hAnsi="Cambria Math"/>
                    </w:rPr>
                    <m:t>post-production</m:t>
                  </m:r>
                </m:sub>
              </m:sSub>
            </m:oMath>
            <w:r w:rsidR="00195D8F" w:rsidRPr="00C65C9C">
              <w:rPr>
                <w:bCs/>
              </w:rPr>
              <w:t xml:space="preserve"> is the emissions intensity across the post-production boundary,</w:t>
            </w:r>
            <w:r w:rsidR="00195D8F">
              <w:rPr>
                <w:bCs/>
              </w:rPr>
              <w:t xml:space="preserve"> </w:t>
            </w:r>
            <m:oMath>
              <m:r>
                <m:rPr>
                  <m:sty m:val="bi"/>
                </m:rPr>
                <w:rPr>
                  <w:rFonts w:ascii="Cambria Math" w:hAnsi="Cambria Math"/>
                </w:rPr>
                <m:t>E</m:t>
              </m:r>
              <m:sSub>
                <m:sSubPr>
                  <m:ctrlPr>
                    <w:rPr>
                      <w:rFonts w:ascii="Cambria Math" w:hAnsi="Cambria Math"/>
                      <w:bCs/>
                    </w:rPr>
                  </m:ctrlPr>
                </m:sSubPr>
                <m:e>
                  <m:r>
                    <m:rPr>
                      <m:sty m:val="bi"/>
                    </m:rPr>
                    <w:rPr>
                      <w:rFonts w:ascii="Cambria Math" w:hAnsi="Cambria Math"/>
                    </w:rPr>
                    <m:t>I</m:t>
                  </m:r>
                </m:e>
                <m:sub>
                  <m:r>
                    <m:rPr>
                      <m:sty m:val="bi"/>
                    </m:rPr>
                    <w:rPr>
                      <w:rFonts w:ascii="Cambria Math" w:hAnsi="Cambria Math"/>
                    </w:rPr>
                    <m:t>loss correction</m:t>
                  </m:r>
                </m:sub>
              </m:sSub>
            </m:oMath>
            <w:r w:rsidR="00195D8F" w:rsidRPr="00C65C9C">
              <w:rPr>
                <w:bCs/>
              </w:rPr>
              <w:t xml:space="preserve"> is the emissions </w:t>
            </w:r>
            <w:r w:rsidR="0084603A">
              <w:rPr>
                <w:bCs/>
              </w:rPr>
              <w:t>re-allocation facto</w:t>
            </w:r>
            <w:r w:rsidR="00BC1466">
              <w:rPr>
                <w:bCs/>
              </w:rPr>
              <w:t>r from</w:t>
            </w:r>
            <w:r w:rsidR="00195D8F" w:rsidRPr="00C65C9C">
              <w:rPr>
                <w:bCs/>
              </w:rPr>
              <w:t xml:space="preserve"> lost product. </w:t>
            </w:r>
            <w:r w:rsidR="00031C3C">
              <w:rPr>
                <w:bCs/>
              </w:rPr>
              <w:t xml:space="preserve">The approach to calculating these values is described in subsequent sections. </w:t>
            </w:r>
          </w:p>
          <w:p w14:paraId="62394D44" w14:textId="77777777" w:rsidR="00195D8F" w:rsidRDefault="00195D8F" w:rsidP="00C923F0">
            <w:pPr>
              <w:spacing w:before="0" w:beforeAutospacing="0" w:after="160"/>
            </w:pPr>
            <w:r>
              <w:t>Substituting the values from the example into the equation above produces the below result:</w:t>
            </w:r>
          </w:p>
          <w:p w14:paraId="4B5613A7" w14:textId="048571BE" w:rsidR="00195D8F" w:rsidRPr="00732FCB" w:rsidRDefault="00002DC7" w:rsidP="00C923F0">
            <w:pPr>
              <w:spacing w:before="0" w:beforeAutospacing="0" w:after="160"/>
              <w:rPr>
                <w:b/>
              </w:rPr>
            </w:pPr>
            <m:oMathPara>
              <m:oMath>
                <m:r>
                  <m:rPr>
                    <m:sty m:val="bi"/>
                  </m:rPr>
                  <w:rPr>
                    <w:rFonts w:ascii="Cambria Math" w:hAnsi="Cambria Math"/>
                  </w:rPr>
                  <m:t>6.13</m:t>
                </m:r>
                <m:r>
                  <m:rPr>
                    <m:sty m:val="b"/>
                  </m:rPr>
                  <w:rPr>
                    <w:rFonts w:ascii="Cambria Math" w:hAnsi="Cambria Math"/>
                  </w:rPr>
                  <m:t>=</m:t>
                </m:r>
                <m:r>
                  <m:rPr>
                    <m:sty m:val="bi"/>
                  </m:rPr>
                  <w:rPr>
                    <w:rFonts w:ascii="Cambria Math" w:hAnsi="Cambria Math"/>
                  </w:rPr>
                  <m:t>5.33+0.73+0.07</m:t>
                </m:r>
              </m:oMath>
            </m:oMathPara>
          </w:p>
          <w:p w14:paraId="403CC15D" w14:textId="73D2EC0F" w:rsidR="00195D8F" w:rsidRPr="00E813CA" w:rsidRDefault="00195D8F" w:rsidP="00C923F0">
            <w:pPr>
              <w:tabs>
                <w:tab w:val="left" w:pos="5411"/>
              </w:tabs>
              <w:spacing w:before="0" w:beforeAutospacing="0" w:after="160"/>
            </w:pPr>
            <w:r>
              <w:t>The resulting gross emissions intensity is 6.1</w:t>
            </w:r>
            <w:r w:rsidR="0033157B">
              <w:t>3</w:t>
            </w:r>
            <w:r>
              <w:t xml:space="preserve"> kg CO</w:t>
            </w:r>
            <w:r w:rsidRPr="00E0151C">
              <w:rPr>
                <w:vertAlign w:val="subscript"/>
              </w:rPr>
              <w:t>2</w:t>
            </w:r>
            <w:r>
              <w:t>-e</w:t>
            </w:r>
            <w:r w:rsidR="000601F1">
              <w:t>/</w:t>
            </w:r>
            <w:r>
              <w:t xml:space="preserve">kg </w:t>
            </w:r>
            <w:r w:rsidR="000601F1">
              <w:t>H</w:t>
            </w:r>
            <w:r w:rsidR="000601F1" w:rsidRPr="00E0151C">
              <w:rPr>
                <w:vertAlign w:val="subscript"/>
              </w:rPr>
              <w:t>2</w:t>
            </w:r>
            <w:r w:rsidR="00544A14">
              <w:rPr>
                <w:vertAlign w:val="subscript"/>
              </w:rPr>
              <w:t xml:space="preserve"> </w:t>
            </w:r>
            <w:r w:rsidR="00544A14">
              <w:t>delivered</w:t>
            </w:r>
            <w:r>
              <w:t xml:space="preserve">. </w:t>
            </w:r>
          </w:p>
        </w:tc>
      </w:tr>
    </w:tbl>
    <w:p w14:paraId="555D3246" w14:textId="338E6219" w:rsidR="005B0086" w:rsidRDefault="005B0086" w:rsidP="008C1159">
      <w:pPr>
        <w:pStyle w:val="Heading2"/>
        <w:numPr>
          <w:ilvl w:val="0"/>
          <w:numId w:val="0"/>
        </w:numPr>
        <w:spacing w:before="360"/>
      </w:pPr>
      <w:r>
        <w:br w:type="page"/>
      </w:r>
    </w:p>
    <w:p w14:paraId="0CEF0097" w14:textId="68D8846D" w:rsidR="00195D8F" w:rsidRPr="00867ECE" w:rsidRDefault="00080AC2" w:rsidP="002C70EE">
      <w:pPr>
        <w:pStyle w:val="Heading2"/>
        <w:spacing w:before="360"/>
      </w:pPr>
      <w:bookmarkStart w:id="135" w:name="_Toc146029792"/>
      <w:r>
        <w:t>Production boundary</w:t>
      </w:r>
      <w:r w:rsidR="00195D8F">
        <w:t xml:space="preserve"> emissions intensity</w:t>
      </w:r>
      <w:bookmarkEnd w:id="135"/>
    </w:p>
    <w:p w14:paraId="47F66172" w14:textId="5B1E1CD5" w:rsidR="00195D8F" w:rsidRDefault="00195D8F" w:rsidP="00195D8F">
      <w:r>
        <w:t xml:space="preserve">The emissions from within the </w:t>
      </w:r>
      <w:r w:rsidR="00080AC2">
        <w:t>production boundary</w:t>
      </w:r>
      <w:r>
        <w:t xml:space="preserve"> </w:t>
      </w:r>
      <w:r w:rsidR="00470043">
        <w:t>are</w:t>
      </w:r>
      <w:r>
        <w:t xml:space="preserve"> calculated using product profile and batch specific data. The approach to calculating emissions intensity within the </w:t>
      </w:r>
      <w:r w:rsidR="00080AC2">
        <w:t>production boundary</w:t>
      </w:r>
      <w:r>
        <w:t xml:space="preserve"> involves calculating the </w:t>
      </w:r>
      <w:r w:rsidR="0076290B">
        <w:t xml:space="preserve">total </w:t>
      </w:r>
      <w:r>
        <w:t xml:space="preserve">emissions which include upstream emissions, </w:t>
      </w:r>
      <w:r w:rsidR="0001185E">
        <w:t xml:space="preserve">direct emissions </w:t>
      </w:r>
      <w:r w:rsidR="00E434D0">
        <w:t>such as</w:t>
      </w:r>
      <w:r>
        <w:t xml:space="preserve"> combustion emissions</w:t>
      </w:r>
      <w:r w:rsidR="0001185E">
        <w:t xml:space="preserve"> and</w:t>
      </w:r>
      <w:r>
        <w:t xml:space="preserve"> accrued emissions</w:t>
      </w:r>
      <w:r w:rsidR="007F44C8">
        <w:t xml:space="preserve"> (short term correction</w:t>
      </w:r>
      <w:r w:rsidR="001501DC">
        <w:t xml:space="preserve">s for </w:t>
      </w:r>
      <w:r w:rsidR="001501DC" w:rsidRPr="00F03E5E">
        <w:t>one-off emissions events)</w:t>
      </w:r>
      <w:r w:rsidRPr="00F03E5E">
        <w:t xml:space="preserve"> and electricity emissions</w:t>
      </w:r>
      <w:r w:rsidR="00F611B7" w:rsidRPr="00F03E5E">
        <w:t xml:space="preserve">, followed </w:t>
      </w:r>
      <w:r w:rsidRPr="00F03E5E">
        <w:t xml:space="preserve">by deducting CCS and co-product allocations. The </w:t>
      </w:r>
      <w:r w:rsidR="00E81EA8" w:rsidRPr="00F03E5E">
        <w:t>total</w:t>
      </w:r>
      <w:r w:rsidRPr="00F03E5E">
        <w:t xml:space="preserve"> emissions </w:t>
      </w:r>
      <w:r w:rsidR="00A5579D">
        <w:t>is</w:t>
      </w:r>
      <w:r w:rsidR="00A5579D" w:rsidRPr="00F03E5E">
        <w:t xml:space="preserve"> </w:t>
      </w:r>
      <w:r w:rsidRPr="00F03E5E">
        <w:t xml:space="preserve">then divided by the quantity </w:t>
      </w:r>
      <w:r w:rsidR="00BD0089" w:rsidRPr="00F03E5E">
        <w:t xml:space="preserve">of product </w:t>
      </w:r>
      <w:r w:rsidRPr="00F03E5E">
        <w:t xml:space="preserve">produced to derive the </w:t>
      </w:r>
      <w:r w:rsidRPr="006A7979">
        <w:t>emissions intensity value.</w:t>
      </w:r>
    </w:p>
    <w:p w14:paraId="32A05F02" w14:textId="7B57C965" w:rsidR="00195D8F" w:rsidRDefault="00195D8F" w:rsidP="00195D8F">
      <w:r>
        <w:t xml:space="preserve">Guidance for calculating these various component emissions is provided in </w:t>
      </w:r>
      <w:r w:rsidR="00ED351B">
        <w:fldChar w:fldCharType="begin"/>
      </w:r>
      <w:r w:rsidR="00ED351B">
        <w:instrText xml:space="preserve"> REF _Ref140523349 \r \h </w:instrText>
      </w:r>
      <w:r w:rsidR="00ED351B">
        <w:fldChar w:fldCharType="separate"/>
      </w:r>
      <w:r w:rsidR="00785FEC">
        <w:t>Section 3.1</w:t>
      </w:r>
      <w:r w:rsidR="00ED351B">
        <w:fldChar w:fldCharType="end"/>
      </w:r>
      <w:r w:rsidR="000524FC">
        <w:t xml:space="preserve"> </w:t>
      </w:r>
      <w:r>
        <w:t>of this paper.</w:t>
      </w:r>
    </w:p>
    <w:tbl>
      <w:tblPr>
        <w:tblStyle w:val="CERCallout"/>
        <w:tblpPr w:leftFromText="180" w:rightFromText="180" w:vertAnchor="text" w:tblpY="1"/>
        <w:tblOverlap w:val="never"/>
        <w:tblW w:w="5000" w:type="pct"/>
        <w:tblLook w:val="0480" w:firstRow="0" w:lastRow="0" w:firstColumn="1" w:lastColumn="0" w:noHBand="0" w:noVBand="1"/>
        <w:tblCaption w:val="test"/>
        <w:tblDescription w:val="tesst"/>
      </w:tblPr>
      <w:tblGrid>
        <w:gridCol w:w="8996"/>
      </w:tblGrid>
      <w:tr w:rsidR="00195D8F" w14:paraId="0880DAA4" w14:textId="77777777" w:rsidTr="00A75A3B">
        <w:trPr>
          <w:cantSplit w:val="0"/>
        </w:trPr>
        <w:tc>
          <w:tcPr>
            <w:tcW w:w="0" w:type="pct"/>
          </w:tcPr>
          <w:p w14:paraId="290CE77B" w14:textId="1636375F" w:rsidR="00195D8F" w:rsidRPr="00C209F1" w:rsidRDefault="00080AC2" w:rsidP="00C923F0">
            <w:pPr>
              <w:pStyle w:val="Heading4"/>
              <w:numPr>
                <w:ilvl w:val="3"/>
                <w:numId w:val="0"/>
              </w:numPr>
              <w:spacing w:before="0" w:beforeAutospacing="0" w:after="160"/>
              <w:rPr>
                <w:b/>
                <w:bCs/>
                <w:i w:val="0"/>
                <w:iCs/>
              </w:rPr>
            </w:pPr>
            <w:r>
              <w:rPr>
                <w:b/>
                <w:bCs/>
                <w:i w:val="0"/>
                <w:iCs/>
              </w:rPr>
              <w:t>Production boundary</w:t>
            </w:r>
            <w:r w:rsidR="00195D8F" w:rsidDel="00B97A7A">
              <w:rPr>
                <w:b/>
                <w:bCs/>
                <w:i w:val="0"/>
                <w:iCs/>
              </w:rPr>
              <w:t xml:space="preserve"> </w:t>
            </w:r>
            <w:r w:rsidR="00195D8F">
              <w:rPr>
                <w:b/>
                <w:bCs/>
                <w:i w:val="0"/>
                <w:iCs/>
              </w:rPr>
              <w:t>emissions intensity in practice</w:t>
            </w:r>
          </w:p>
          <w:p w14:paraId="6F191CBE" w14:textId="77777777" w:rsidR="00195D8F" w:rsidRDefault="00195D8F" w:rsidP="00C923F0">
            <w:pPr>
              <w:spacing w:before="0" w:beforeAutospacing="0" w:after="160"/>
            </w:pPr>
            <w:r>
              <w:t>Facility A produces 1,500 kilograms of hydrogen via coal gasification with CCS. This facility estimates the emissions associated with this batch of hydrogen to be:</w:t>
            </w:r>
          </w:p>
          <w:p w14:paraId="317094AB" w14:textId="40D09F79" w:rsidR="00195D8F" w:rsidRDefault="00195D8F" w:rsidP="00EB44F9">
            <w:pPr>
              <w:pStyle w:val="ListParagraph"/>
              <w:numPr>
                <w:ilvl w:val="0"/>
                <w:numId w:val="5"/>
              </w:numPr>
              <w:spacing w:before="0" w:beforeAutospacing="0" w:after="160"/>
              <w:ind w:left="677"/>
            </w:pPr>
            <w:r>
              <w:t xml:space="preserve">Upstream emissions = </w:t>
            </w:r>
            <w:r w:rsidR="009B5B86">
              <w:t>3,0</w:t>
            </w:r>
            <w:r>
              <w:t>00 kg CO</w:t>
            </w:r>
            <w:r w:rsidRPr="00E0151C">
              <w:rPr>
                <w:vertAlign w:val="subscript"/>
              </w:rPr>
              <w:t>2</w:t>
            </w:r>
            <w:r>
              <w:t>-e</w:t>
            </w:r>
          </w:p>
          <w:p w14:paraId="47043079" w14:textId="2743E567" w:rsidR="00195D8F" w:rsidRDefault="003C436D" w:rsidP="00EB44F9">
            <w:pPr>
              <w:pStyle w:val="ListParagraph"/>
              <w:numPr>
                <w:ilvl w:val="0"/>
                <w:numId w:val="5"/>
              </w:numPr>
              <w:spacing w:before="0" w:beforeAutospacing="0" w:after="160"/>
              <w:ind w:left="677"/>
            </w:pPr>
            <w:r>
              <w:t xml:space="preserve">Electricity </w:t>
            </w:r>
            <w:r w:rsidR="00195D8F">
              <w:t xml:space="preserve">emissions = </w:t>
            </w:r>
            <w:r w:rsidR="002F4D81">
              <w:t>3</w:t>
            </w:r>
            <w:r w:rsidR="00195D8F">
              <w:t>,000 kg CO</w:t>
            </w:r>
            <w:r w:rsidR="00195D8F" w:rsidRPr="00E0151C">
              <w:rPr>
                <w:vertAlign w:val="subscript"/>
              </w:rPr>
              <w:t>2</w:t>
            </w:r>
            <w:r w:rsidR="00195D8F">
              <w:t>-e</w:t>
            </w:r>
          </w:p>
          <w:p w14:paraId="06C46F52" w14:textId="2F6368FA" w:rsidR="00195D8F" w:rsidRPr="004E58CC" w:rsidRDefault="00195D8F" w:rsidP="00EB44F9">
            <w:pPr>
              <w:pStyle w:val="ListParagraph"/>
              <w:numPr>
                <w:ilvl w:val="0"/>
                <w:numId w:val="5"/>
              </w:numPr>
              <w:spacing w:before="0" w:beforeAutospacing="0" w:after="160"/>
              <w:ind w:left="677"/>
            </w:pPr>
            <w:r w:rsidRPr="004E58CC">
              <w:t xml:space="preserve">Combustion emissions = </w:t>
            </w:r>
            <w:r w:rsidR="009B5B86">
              <w:t>7</w:t>
            </w:r>
            <w:r w:rsidRPr="004E58CC">
              <w:t>,</w:t>
            </w:r>
            <w:r w:rsidR="009B5B86">
              <w:t>0</w:t>
            </w:r>
            <w:r w:rsidRPr="004E58CC">
              <w:t xml:space="preserve">00 </w:t>
            </w:r>
            <w:r>
              <w:t>kg</w:t>
            </w:r>
            <w:r w:rsidRPr="004E58CC">
              <w:t xml:space="preserve"> CO</w:t>
            </w:r>
            <w:r w:rsidRPr="00E0151C">
              <w:rPr>
                <w:vertAlign w:val="subscript"/>
              </w:rPr>
              <w:t>2</w:t>
            </w:r>
            <w:r w:rsidRPr="004E58CC">
              <w:t>-e</w:t>
            </w:r>
          </w:p>
          <w:p w14:paraId="38EF5CB4" w14:textId="7F0EDA54" w:rsidR="00195D8F" w:rsidRPr="004E58CC" w:rsidRDefault="00195D8F" w:rsidP="00EB44F9">
            <w:pPr>
              <w:pStyle w:val="ListParagraph"/>
              <w:numPr>
                <w:ilvl w:val="0"/>
                <w:numId w:val="5"/>
              </w:numPr>
              <w:spacing w:before="0" w:beforeAutospacing="0" w:after="160"/>
              <w:ind w:left="677"/>
            </w:pPr>
            <w:r>
              <w:t xml:space="preserve">Accrued </w:t>
            </w:r>
            <w:r w:rsidRPr="004E58CC">
              <w:t>emissions = 2,80</w:t>
            </w:r>
            <w:r>
              <w:t>8</w:t>
            </w:r>
            <w:r w:rsidRPr="004E58CC">
              <w:t xml:space="preserve"> </w:t>
            </w:r>
            <w:r>
              <w:t>kg</w:t>
            </w:r>
            <w:r w:rsidRPr="004E58CC">
              <w:t xml:space="preserve"> CO</w:t>
            </w:r>
            <w:r w:rsidRPr="00E0151C">
              <w:rPr>
                <w:vertAlign w:val="subscript"/>
              </w:rPr>
              <w:t>2</w:t>
            </w:r>
            <w:r w:rsidRPr="004E58CC">
              <w:t>-e</w:t>
            </w:r>
          </w:p>
          <w:p w14:paraId="51C43CE8" w14:textId="64F53E57" w:rsidR="00195D8F" w:rsidRDefault="00195D8F" w:rsidP="00EB44F9">
            <w:pPr>
              <w:pStyle w:val="ListParagraph"/>
              <w:numPr>
                <w:ilvl w:val="0"/>
                <w:numId w:val="5"/>
              </w:numPr>
              <w:spacing w:before="0" w:beforeAutospacing="0" w:after="160"/>
              <w:ind w:left="677"/>
            </w:pPr>
            <w:r w:rsidRPr="004E58CC">
              <w:t xml:space="preserve">Carbon Capture and Storage emissions = </w:t>
            </w:r>
            <w:r w:rsidR="00F06B45">
              <w:t>692</w:t>
            </w:r>
            <w:r w:rsidR="00F06B45" w:rsidRPr="004E58CC">
              <w:t xml:space="preserve"> </w:t>
            </w:r>
            <w:r>
              <w:t>kg</w:t>
            </w:r>
            <w:r w:rsidRPr="004E58CC">
              <w:t xml:space="preserve"> CO</w:t>
            </w:r>
            <w:r w:rsidRPr="00E0151C">
              <w:rPr>
                <w:vertAlign w:val="subscript"/>
              </w:rPr>
              <w:t>2</w:t>
            </w:r>
            <w:r w:rsidRPr="004E58CC">
              <w:t>-e</w:t>
            </w:r>
          </w:p>
          <w:p w14:paraId="1961B62C" w14:textId="50007758" w:rsidR="00087A41" w:rsidRDefault="00087A41" w:rsidP="00EB44F9">
            <w:pPr>
              <w:pStyle w:val="ListParagraph"/>
              <w:numPr>
                <w:ilvl w:val="0"/>
                <w:numId w:val="5"/>
              </w:numPr>
              <w:spacing w:before="0" w:beforeAutospacing="0" w:after="160"/>
              <w:ind w:left="677"/>
            </w:pPr>
            <w:r>
              <w:t xml:space="preserve">Emissions allocations to co-products = </w:t>
            </w:r>
            <w:r w:rsidR="009F68EB">
              <w:t>1,</w:t>
            </w:r>
            <w:r>
              <w:t>500 kg CO</w:t>
            </w:r>
            <w:r w:rsidRPr="00E0151C">
              <w:rPr>
                <w:vertAlign w:val="subscript"/>
              </w:rPr>
              <w:t>2</w:t>
            </w:r>
            <w:r>
              <w:t>-e</w:t>
            </w:r>
          </w:p>
          <w:p w14:paraId="6D99BFF4" w14:textId="557F7F47" w:rsidR="00EE50D8" w:rsidRPr="00087A41" w:rsidRDefault="00087A41" w:rsidP="00EB44F9">
            <w:pPr>
              <w:pStyle w:val="ListParagraph"/>
              <w:numPr>
                <w:ilvl w:val="0"/>
                <w:numId w:val="5"/>
              </w:numPr>
              <w:spacing w:before="0" w:beforeAutospacing="0" w:after="160"/>
              <w:ind w:left="677"/>
            </w:pPr>
            <w:r>
              <w:t xml:space="preserve">Carbon captured and stored = </w:t>
            </w:r>
            <w:r w:rsidR="002F4D81">
              <w:t>7</w:t>
            </w:r>
            <w:r>
              <w:t>,</w:t>
            </w:r>
            <w:r w:rsidR="002F4D81">
              <w:t>0</w:t>
            </w:r>
            <w:r>
              <w:t>00 kg CO</w:t>
            </w:r>
            <w:r w:rsidRPr="00E0151C">
              <w:rPr>
                <w:vertAlign w:val="subscript"/>
              </w:rPr>
              <w:t>2</w:t>
            </w:r>
            <w:r>
              <w:t>-e</w:t>
            </w:r>
          </w:p>
          <w:p w14:paraId="7061701D" w14:textId="7B1B2F71" w:rsidR="00195D8F" w:rsidRDefault="00195D8F" w:rsidP="00C923F0">
            <w:pPr>
              <w:spacing w:before="0" w:beforeAutospacing="0" w:after="160"/>
            </w:pPr>
            <w:r>
              <w:t>The</w:t>
            </w:r>
            <w:r w:rsidDel="00B97A7A">
              <w:t xml:space="preserve"> </w:t>
            </w:r>
            <w:r w:rsidR="00B97A7A">
              <w:t xml:space="preserve">total </w:t>
            </w:r>
            <w:r>
              <w:t xml:space="preserve">emissions from the </w:t>
            </w:r>
            <w:r w:rsidR="00080AC2">
              <w:t>production boundary</w:t>
            </w:r>
            <w:r>
              <w:t xml:space="preserve"> </w:t>
            </w:r>
            <w:r w:rsidR="00E75616">
              <w:t xml:space="preserve">is </w:t>
            </w:r>
            <w:r>
              <w:t>proposed to be calculated using the below formula:</w:t>
            </w:r>
          </w:p>
          <w:p w14:paraId="6516EE96" w14:textId="4E847FCF" w:rsidR="00195D8F" w:rsidRPr="001E3DAC" w:rsidRDefault="00785FEC" w:rsidP="00C923F0">
            <w:pPr>
              <w:spacing w:before="0" w:beforeAutospacing="0" w:after="160"/>
              <w:rPr>
                <w:rFonts w:ascii="Cambria Math" w:hAnsi="Cambria Math"/>
              </w:rPr>
            </w:pPr>
            <m:oMathPara>
              <m:oMathParaPr>
                <m:jc m:val="left"/>
              </m:oMathParaPr>
              <m:oMath>
                <m:sSub>
                  <m:sSubPr>
                    <m:ctrlPr>
                      <w:rPr>
                        <w:rFonts w:ascii="Cambria Math" w:hAnsi="Cambria Math"/>
                        <w:bCs/>
                      </w:rPr>
                    </m:ctrlPr>
                  </m:sSubPr>
                  <m:e>
                    <m:r>
                      <m:rPr>
                        <m:sty m:val="bi"/>
                      </m:rPr>
                      <w:rPr>
                        <w:rFonts w:ascii="Cambria Math" w:hAnsi="Cambria Math"/>
                      </w:rPr>
                      <m:t>E</m:t>
                    </m:r>
                  </m:e>
                  <m:sub>
                    <m:r>
                      <m:rPr>
                        <m:sty m:val="bi"/>
                      </m:rPr>
                      <w:rPr>
                        <w:rFonts w:ascii="Cambria Math" w:hAnsi="Cambria Math"/>
                      </w:rPr>
                      <m:t>production</m:t>
                    </m:r>
                    <m:r>
                      <m:rPr>
                        <m:sty m:val="b"/>
                      </m:rPr>
                      <w:rPr>
                        <w:rFonts w:ascii="Cambria Math" w:hAnsi="Cambria Math"/>
                      </w:rPr>
                      <m:t xml:space="preserve">  </m:t>
                    </m:r>
                  </m:sub>
                </m:sSub>
                <m:r>
                  <m:rPr>
                    <m:sty m:val="b"/>
                  </m:rPr>
                  <w:rPr>
                    <w:rFonts w:ascii="Cambria Math" w:hAnsi="Cambria Math"/>
                  </w:rPr>
                  <m:t xml:space="preserve">= </m:t>
                </m:r>
                <m:sSub>
                  <m:sSubPr>
                    <m:ctrlPr>
                      <w:rPr>
                        <w:rFonts w:ascii="Cambria Math" w:hAnsi="Cambria Math"/>
                        <w:bCs/>
                      </w:rPr>
                    </m:ctrlPr>
                  </m:sSubPr>
                  <m:e>
                    <m:r>
                      <m:rPr>
                        <m:sty m:val="bi"/>
                      </m:rPr>
                      <w:rPr>
                        <w:rFonts w:ascii="Cambria Math" w:hAnsi="Cambria Math"/>
                      </w:rPr>
                      <m:t>E</m:t>
                    </m:r>
                  </m:e>
                  <m:sub>
                    <m:r>
                      <m:rPr>
                        <m:sty m:val="bi"/>
                      </m:rPr>
                      <w:rPr>
                        <w:rFonts w:ascii="Cambria Math" w:hAnsi="Cambria Math"/>
                      </w:rPr>
                      <m:t>upstream</m:t>
                    </m:r>
                  </m:sub>
                </m:sSub>
                <m:r>
                  <w:rPr>
                    <w:rFonts w:ascii="Cambria Math" w:hAnsi="Cambria Math"/>
                  </w:rPr>
                  <m:t>+</m:t>
                </m:r>
                <m:sSub>
                  <m:sSubPr>
                    <m:ctrlPr>
                      <w:rPr>
                        <w:rFonts w:ascii="Cambria Math" w:hAnsi="Cambria Math"/>
                        <w:bCs/>
                      </w:rPr>
                    </m:ctrlPr>
                  </m:sSubPr>
                  <m:e>
                    <m:sSub>
                      <m:sSubPr>
                        <m:ctrlPr>
                          <w:rPr>
                            <w:rFonts w:ascii="Cambria Math" w:hAnsi="Cambria Math"/>
                            <w:bCs/>
                          </w:rPr>
                        </m:ctrlPr>
                      </m:sSubPr>
                      <m:e>
                        <m:r>
                          <m:rPr>
                            <m:sty m:val="bi"/>
                          </m:rPr>
                          <w:rPr>
                            <w:rFonts w:ascii="Cambria Math" w:hAnsi="Cambria Math"/>
                          </w:rPr>
                          <m:t>E</m:t>
                        </m:r>
                      </m:e>
                      <m:sub>
                        <m:r>
                          <m:rPr>
                            <m:sty m:val="bi"/>
                          </m:rPr>
                          <w:rPr>
                            <w:rFonts w:ascii="Cambria Math" w:hAnsi="Cambria Math"/>
                          </w:rPr>
                          <m:t>energy</m:t>
                        </m:r>
                        <m:r>
                          <m:rPr>
                            <m:sty m:val="b"/>
                          </m:rPr>
                          <w:rPr>
                            <w:rFonts w:ascii="Cambria Math" w:hAnsi="Cambria Math"/>
                          </w:rPr>
                          <m:t xml:space="preserve"> </m:t>
                        </m:r>
                        <m:r>
                          <m:rPr>
                            <m:sty m:val="bi"/>
                          </m:rPr>
                          <w:rPr>
                            <w:rFonts w:ascii="Cambria Math" w:hAnsi="Cambria Math"/>
                          </w:rPr>
                          <m:t>supply</m:t>
                        </m:r>
                        <m:r>
                          <m:rPr>
                            <m:sty m:val="b"/>
                          </m:rPr>
                          <w:rPr>
                            <w:rFonts w:ascii="Cambria Math" w:hAnsi="Cambria Math"/>
                          </w:rPr>
                          <m:t xml:space="preserve"> </m:t>
                        </m:r>
                      </m:sub>
                    </m:sSub>
                    <m:r>
                      <m:rPr>
                        <m:sty m:val="b"/>
                      </m:rPr>
                      <w:rPr>
                        <w:rFonts w:ascii="Cambria Math" w:hAnsi="Cambria Math"/>
                      </w:rPr>
                      <m:t>+</m:t>
                    </m:r>
                    <m:r>
                      <m:rPr>
                        <m:sty m:val="bi"/>
                      </m:rPr>
                      <w:rPr>
                        <w:rFonts w:ascii="Cambria Math" w:hAnsi="Cambria Math"/>
                      </w:rPr>
                      <m:t>E</m:t>
                    </m:r>
                  </m:e>
                  <m:sub>
                    <m:r>
                      <m:rPr>
                        <m:sty m:val="bi"/>
                      </m:rPr>
                      <w:rPr>
                        <w:rFonts w:ascii="Cambria Math" w:hAnsi="Cambria Math"/>
                      </w:rPr>
                      <m:t>combustion</m:t>
                    </m:r>
                    <m:r>
                      <m:rPr>
                        <m:sty m:val="b"/>
                      </m:rPr>
                      <w:rPr>
                        <w:rFonts w:ascii="Cambria Math" w:hAnsi="Cambria Math"/>
                      </w:rPr>
                      <m:t xml:space="preserve"> </m:t>
                    </m:r>
                  </m:sub>
                </m:sSub>
                <m:r>
                  <m:rPr>
                    <m:sty m:val="b"/>
                  </m:rPr>
                  <w:rPr>
                    <w:rFonts w:ascii="Cambria Math" w:hAnsi="Cambria Math"/>
                  </w:rPr>
                  <m:t>+</m:t>
                </m:r>
                <m:sSub>
                  <m:sSubPr>
                    <m:ctrlPr>
                      <w:rPr>
                        <w:rFonts w:ascii="Cambria Math" w:hAnsi="Cambria Math"/>
                        <w:bCs/>
                      </w:rPr>
                    </m:ctrlPr>
                  </m:sSubPr>
                  <m:e>
                    <m:r>
                      <m:rPr>
                        <m:sty m:val="bi"/>
                      </m:rPr>
                      <w:rPr>
                        <w:rFonts w:ascii="Cambria Math" w:hAnsi="Cambria Math"/>
                      </w:rPr>
                      <m:t>E</m:t>
                    </m:r>
                  </m:e>
                  <m:sub>
                    <m:r>
                      <m:rPr>
                        <m:sty m:val="bi"/>
                      </m:rPr>
                      <w:rPr>
                        <w:rFonts w:ascii="Cambria Math" w:hAnsi="Cambria Math"/>
                      </w:rPr>
                      <m:t>accrued</m:t>
                    </m:r>
                    <m:r>
                      <m:rPr>
                        <m:sty m:val="b"/>
                      </m:rPr>
                      <w:rPr>
                        <w:rFonts w:ascii="Cambria Math" w:hAnsi="Cambria Math"/>
                      </w:rPr>
                      <m:t xml:space="preserve"> </m:t>
                    </m:r>
                  </m:sub>
                </m:sSub>
                <m:r>
                  <m:rPr>
                    <m:sty m:val="b"/>
                  </m:rPr>
                  <w:rPr>
                    <w:rFonts w:ascii="Cambria Math" w:hAnsi="Cambria Math"/>
                  </w:rPr>
                  <m:t>+</m:t>
                </m:r>
                <m:sSub>
                  <m:sSubPr>
                    <m:ctrlPr>
                      <w:rPr>
                        <w:rFonts w:ascii="Cambria Math" w:hAnsi="Cambria Math"/>
                        <w:bCs/>
                      </w:rPr>
                    </m:ctrlPr>
                  </m:sSubPr>
                  <m:e>
                    <m:r>
                      <m:rPr>
                        <m:sty m:val="bi"/>
                      </m:rPr>
                      <w:rPr>
                        <w:rFonts w:ascii="Cambria Math" w:hAnsi="Cambria Math"/>
                      </w:rPr>
                      <m:t>E</m:t>
                    </m:r>
                  </m:e>
                  <m:sub>
                    <m:r>
                      <m:rPr>
                        <m:sty m:val="bi"/>
                      </m:rPr>
                      <w:rPr>
                        <w:rFonts w:ascii="Cambria Math" w:hAnsi="Cambria Math"/>
                      </w:rPr>
                      <m:t>Carbon capture and storage</m:t>
                    </m:r>
                  </m:sub>
                </m:sSub>
                <m:r>
                  <m:rPr>
                    <m:sty m:val="b"/>
                  </m:rPr>
                  <w:rPr>
                    <w:rFonts w:ascii="Cambria Math" w:hAnsi="Cambria Math"/>
                  </w:rPr>
                  <m:t>-</m:t>
                </m:r>
                <m:sSub>
                  <m:sSubPr>
                    <m:ctrlPr>
                      <w:rPr>
                        <w:rFonts w:ascii="Cambria Math" w:hAnsi="Cambria Math"/>
                        <w:bCs/>
                      </w:rPr>
                    </m:ctrlPr>
                  </m:sSubPr>
                  <m:e>
                    <m:r>
                      <m:rPr>
                        <m:sty m:val="bi"/>
                      </m:rPr>
                      <w:rPr>
                        <w:rFonts w:ascii="Cambria Math" w:hAnsi="Cambria Math"/>
                      </w:rPr>
                      <m:t>E</m:t>
                    </m:r>
                  </m:e>
                  <m:sub>
                    <m:r>
                      <m:rPr>
                        <m:sty m:val="bi"/>
                      </m:rPr>
                      <w:rPr>
                        <w:rFonts w:ascii="Cambria Math" w:hAnsi="Cambria Math"/>
                      </w:rPr>
                      <m:t>co</m:t>
                    </m:r>
                    <m:r>
                      <m:rPr>
                        <m:sty m:val="b"/>
                      </m:rPr>
                      <w:rPr>
                        <w:rFonts w:ascii="Cambria Math" w:hAnsi="Cambria Math"/>
                      </w:rPr>
                      <m:t>-</m:t>
                    </m:r>
                    <m:r>
                      <m:rPr>
                        <m:sty m:val="bi"/>
                      </m:rPr>
                      <w:rPr>
                        <w:rFonts w:ascii="Cambria Math" w:hAnsi="Cambria Math"/>
                      </w:rPr>
                      <m:t>products</m:t>
                    </m:r>
                  </m:sub>
                </m:sSub>
                <m:r>
                  <m:rPr>
                    <m:sty m:val="b"/>
                  </m:rPr>
                  <w:rPr>
                    <w:rFonts w:ascii="Cambria Math" w:hAnsi="Cambria Math"/>
                  </w:rPr>
                  <m:t>-</m:t>
                </m:r>
                <m:sSub>
                  <m:sSubPr>
                    <m:ctrlPr>
                      <w:rPr>
                        <w:rFonts w:ascii="Cambria Math" w:hAnsi="Cambria Math"/>
                        <w:bCs/>
                      </w:rPr>
                    </m:ctrlPr>
                  </m:sSubPr>
                  <m:e>
                    <m:r>
                      <m:rPr>
                        <m:sty m:val="bi"/>
                      </m:rPr>
                      <w:rPr>
                        <w:rFonts w:ascii="Cambria Math" w:hAnsi="Cambria Math"/>
                      </w:rPr>
                      <m:t>Q</m:t>
                    </m:r>
                  </m:e>
                  <m:sub>
                    <m:r>
                      <m:rPr>
                        <m:sty m:val="bi"/>
                      </m:rPr>
                      <w:rPr>
                        <w:rFonts w:ascii="Cambria Math" w:hAnsi="Cambria Math"/>
                      </w:rPr>
                      <m:t>CCS</m:t>
                    </m:r>
                  </m:sub>
                </m:sSub>
              </m:oMath>
            </m:oMathPara>
          </w:p>
          <w:p w14:paraId="3BCBD99E" w14:textId="77777777" w:rsidR="00195D8F" w:rsidRDefault="00195D8F" w:rsidP="00C923F0">
            <w:pPr>
              <w:spacing w:before="0" w:beforeAutospacing="0" w:after="160"/>
            </w:pPr>
            <w:r>
              <w:t>Substituting the example values in produces the result:</w:t>
            </w:r>
          </w:p>
          <w:p w14:paraId="1668562C" w14:textId="136240E7" w:rsidR="00195D8F" w:rsidRPr="008C1159" w:rsidRDefault="0051079C" w:rsidP="00C923F0">
            <w:pPr>
              <w:spacing w:before="0" w:beforeAutospacing="0" w:after="160"/>
              <w:rPr>
                <w:b/>
                <w:bCs/>
              </w:rPr>
            </w:pPr>
            <m:oMathPara>
              <m:oMathParaPr>
                <m:jc m:val="center"/>
              </m:oMathParaPr>
              <m:oMath>
                <m:r>
                  <m:rPr>
                    <m:sty m:val="b"/>
                  </m:rPr>
                  <w:rPr>
                    <w:rFonts w:ascii="Cambria Math" w:hAnsi="Cambria Math"/>
                  </w:rPr>
                  <m:t>8,000=3,000+3,000+</m:t>
                </m:r>
                <m:r>
                  <m:rPr>
                    <m:sty m:val="bi"/>
                  </m:rPr>
                  <w:rPr>
                    <w:rFonts w:ascii="Cambria Math" w:hAnsi="Cambria Math"/>
                  </w:rPr>
                  <m:t>7,000</m:t>
                </m:r>
                <m:r>
                  <m:rPr>
                    <m:sty m:val="b"/>
                  </m:rPr>
                  <w:rPr>
                    <w:rFonts w:ascii="Cambria Math" w:hAnsi="Cambria Math"/>
                  </w:rPr>
                  <m:t>+2,808+692-1500-7,000</m:t>
                </m:r>
              </m:oMath>
            </m:oMathPara>
          </w:p>
          <w:p w14:paraId="3BBE8C4F" w14:textId="483F6888" w:rsidR="00195D8F" w:rsidRDefault="00195D8F" w:rsidP="00C923F0">
            <w:pPr>
              <w:spacing w:before="0" w:beforeAutospacing="0" w:after="160"/>
            </w:pPr>
            <w:r>
              <w:t xml:space="preserve">This results in a </w:t>
            </w:r>
            <w:r w:rsidR="00B8683E">
              <w:t xml:space="preserve">total </w:t>
            </w:r>
            <w:r>
              <w:t xml:space="preserve">emissions value of </w:t>
            </w:r>
            <w:r w:rsidR="0051079C">
              <w:t>8</w:t>
            </w:r>
            <w:r w:rsidR="0016125E">
              <w:t>,</w:t>
            </w:r>
            <w:r w:rsidR="00FC6F7A">
              <w:t>0</w:t>
            </w:r>
            <w:r w:rsidR="0016125E">
              <w:t>00</w:t>
            </w:r>
            <w:r>
              <w:t xml:space="preserve"> kg CO</w:t>
            </w:r>
            <w:r w:rsidRPr="00E0151C">
              <w:rPr>
                <w:vertAlign w:val="subscript"/>
              </w:rPr>
              <w:t>2</w:t>
            </w:r>
            <w:r>
              <w:t>-e.</w:t>
            </w:r>
          </w:p>
          <w:p w14:paraId="181980A1" w14:textId="66D24E35" w:rsidR="00195D8F" w:rsidRPr="005F6EBF" w:rsidRDefault="0086134C" w:rsidP="00C923F0">
            <w:pPr>
              <w:spacing w:before="0" w:beforeAutospacing="0" w:after="160"/>
            </w:pPr>
            <w:r>
              <w:t xml:space="preserve">Total </w:t>
            </w:r>
            <w:r w:rsidR="00195D8F" w:rsidRPr="005F6EBF">
              <w:t xml:space="preserve">emissions intensity in terms of </w:t>
            </w:r>
            <w:r w:rsidR="00D21345">
              <w:t>kg</w:t>
            </w:r>
            <w:r w:rsidR="00D21345" w:rsidRPr="005F6EBF">
              <w:t xml:space="preserve"> </w:t>
            </w:r>
            <w:r w:rsidR="00195D8F" w:rsidRPr="005F6EBF">
              <w:t>CO</w:t>
            </w:r>
            <w:r w:rsidR="00195D8F" w:rsidRPr="006654CB">
              <w:rPr>
                <w:vertAlign w:val="subscript"/>
              </w:rPr>
              <w:t>2</w:t>
            </w:r>
            <w:r w:rsidR="00195D8F" w:rsidRPr="005F6EBF">
              <w:t>-e/</w:t>
            </w:r>
            <w:r w:rsidR="00D21345">
              <w:t>kg</w:t>
            </w:r>
            <w:r w:rsidR="00D21345" w:rsidRPr="005F6EBF">
              <w:t xml:space="preserve"> </w:t>
            </w:r>
            <w:r w:rsidR="00246F58">
              <w:t>H</w:t>
            </w:r>
            <w:r w:rsidR="00246F58" w:rsidRPr="00E0151C">
              <w:rPr>
                <w:vertAlign w:val="subscript"/>
              </w:rPr>
              <w:t>2</w:t>
            </w:r>
            <w:r w:rsidR="00195D8F" w:rsidRPr="005F6EBF">
              <w:t xml:space="preserve"> produced are calculated as follows:</w:t>
            </w:r>
          </w:p>
          <w:p w14:paraId="2568505F" w14:textId="2BD2676C" w:rsidR="00195D8F" w:rsidRPr="008C7727" w:rsidRDefault="00785FEC" w:rsidP="00C923F0">
            <w:pPr>
              <w:spacing w:before="0" w:beforeAutospacing="0" w:after="160"/>
            </w:pPr>
            <m:oMathPara>
              <m:oMath>
                <m:sSub>
                  <m:sSubPr>
                    <m:ctrlPr>
                      <w:rPr>
                        <w:rFonts w:ascii="Cambria Math" w:hAnsi="Cambria Math"/>
                        <w:bCs/>
                      </w:rPr>
                    </m:ctrlPr>
                  </m:sSubPr>
                  <m:e>
                    <m:r>
                      <m:rPr>
                        <m:sty m:val="bi"/>
                      </m:rPr>
                      <w:rPr>
                        <w:rFonts w:ascii="Cambria Math" w:hAnsi="Cambria Math"/>
                      </w:rPr>
                      <m:t>EI</m:t>
                    </m:r>
                  </m:e>
                  <m:sub>
                    <m:r>
                      <m:rPr>
                        <m:sty m:val="bi"/>
                      </m:rPr>
                      <w:rPr>
                        <w:rFonts w:ascii="Cambria Math" w:hAnsi="Cambria Math"/>
                      </w:rPr>
                      <m:t>production</m:t>
                    </m:r>
                  </m:sub>
                </m:sSub>
                <m:r>
                  <m:rPr>
                    <m:sty m:val="b"/>
                  </m:rPr>
                  <w:rPr>
                    <w:rFonts w:ascii="Cambria Math" w:hAnsi="Cambria Math"/>
                  </w:rPr>
                  <m:t xml:space="preserve">= </m:t>
                </m:r>
                <m:f>
                  <m:fPr>
                    <m:ctrlPr>
                      <w:rPr>
                        <w:rFonts w:ascii="Cambria Math" w:hAnsi="Cambria Math"/>
                        <w:bCs/>
                      </w:rPr>
                    </m:ctrlPr>
                  </m:fPr>
                  <m:num>
                    <m:sSub>
                      <m:sSubPr>
                        <m:ctrlPr>
                          <w:rPr>
                            <w:rFonts w:ascii="Cambria Math" w:hAnsi="Cambria Math"/>
                            <w:bCs/>
                          </w:rPr>
                        </m:ctrlPr>
                      </m:sSubPr>
                      <m:e>
                        <m:r>
                          <m:rPr>
                            <m:sty m:val="bi"/>
                          </m:rPr>
                          <w:rPr>
                            <w:rFonts w:ascii="Cambria Math" w:hAnsi="Cambria Math"/>
                          </w:rPr>
                          <m:t>E</m:t>
                        </m:r>
                      </m:e>
                      <m:sub>
                        <m:r>
                          <m:rPr>
                            <m:sty m:val="bi"/>
                          </m:rPr>
                          <w:rPr>
                            <w:rFonts w:ascii="Cambria Math" w:hAnsi="Cambria Math"/>
                          </w:rPr>
                          <m:t>production</m:t>
                        </m:r>
                      </m:sub>
                    </m:sSub>
                  </m:num>
                  <m:den>
                    <m:sSub>
                      <m:sSubPr>
                        <m:ctrlPr>
                          <w:rPr>
                            <w:rFonts w:ascii="Cambria Math" w:hAnsi="Cambria Math"/>
                            <w:bCs/>
                          </w:rPr>
                        </m:ctrlPr>
                      </m:sSubPr>
                      <m:e>
                        <m:r>
                          <m:rPr>
                            <m:sty m:val="bi"/>
                          </m:rPr>
                          <w:rPr>
                            <w:rFonts w:ascii="Cambria Math" w:hAnsi="Cambria Math"/>
                          </w:rPr>
                          <m:t>Q</m:t>
                        </m:r>
                      </m:e>
                      <m:sub>
                        <m:r>
                          <m:rPr>
                            <m:sty m:val="bi"/>
                          </m:rPr>
                          <w:rPr>
                            <w:rFonts w:ascii="Cambria Math" w:hAnsi="Cambria Math"/>
                          </w:rPr>
                          <m:t>produced</m:t>
                        </m:r>
                      </m:sub>
                    </m:sSub>
                  </m:den>
                </m:f>
              </m:oMath>
            </m:oMathPara>
          </w:p>
          <w:p w14:paraId="1F5B5483" w14:textId="7DE1CEE4" w:rsidR="00081385" w:rsidRDefault="00F55F22" w:rsidP="00C923F0">
            <w:pPr>
              <w:tabs>
                <w:tab w:val="left" w:pos="3471"/>
              </w:tabs>
              <w:spacing w:before="0" w:beforeAutospacing="0" w:after="160"/>
            </w:pPr>
            <w:r>
              <w:t>W</w:t>
            </w:r>
            <w:r w:rsidR="00BA0964">
              <w:t xml:space="preserve">here </w:t>
            </w:r>
            <m:oMath>
              <m:sSub>
                <m:sSubPr>
                  <m:ctrlPr>
                    <w:rPr>
                      <w:rFonts w:ascii="Cambria Math" w:hAnsi="Cambria Math"/>
                      <w:bCs/>
                    </w:rPr>
                  </m:ctrlPr>
                </m:sSubPr>
                <m:e>
                  <m:r>
                    <m:rPr>
                      <m:sty m:val="bi"/>
                    </m:rPr>
                    <w:rPr>
                      <w:rFonts w:ascii="Cambria Math" w:hAnsi="Cambria Math"/>
                    </w:rPr>
                    <m:t>Q</m:t>
                  </m:r>
                </m:e>
                <m:sub>
                  <m:r>
                    <m:rPr>
                      <m:sty m:val="bi"/>
                    </m:rPr>
                    <w:rPr>
                      <w:rFonts w:ascii="Cambria Math" w:hAnsi="Cambria Math"/>
                    </w:rPr>
                    <m:t>produced</m:t>
                  </m:r>
                </m:sub>
              </m:sSub>
              <m:r>
                <w:rPr>
                  <w:rFonts w:ascii="Cambria Math" w:hAnsi="Cambria Math"/>
                </w:rPr>
                <m:t xml:space="preserve"> </m:t>
              </m:r>
            </m:oMath>
            <w:r w:rsidR="00081385">
              <w:rPr>
                <w:bCs/>
              </w:rPr>
              <w:t>is the quantity of hydrogen produced within the production boundary.</w:t>
            </w:r>
          </w:p>
          <w:p w14:paraId="2DE0029D" w14:textId="14B92F61" w:rsidR="00195D8F" w:rsidRPr="005F6EBF" w:rsidRDefault="00195D8F" w:rsidP="00C923F0">
            <w:pPr>
              <w:tabs>
                <w:tab w:val="left" w:pos="3471"/>
              </w:tabs>
              <w:spacing w:before="0" w:beforeAutospacing="0" w:after="160"/>
            </w:pPr>
            <w:r>
              <w:t>Substituting the example values into the equation above results in</w:t>
            </w:r>
            <w:r w:rsidRPr="005F6EBF">
              <w:t>:</w:t>
            </w:r>
            <w:r>
              <w:tab/>
            </w:r>
          </w:p>
          <w:p w14:paraId="05D0FA0F" w14:textId="0B1C9829" w:rsidR="00195D8F" w:rsidRPr="008C1159" w:rsidRDefault="0051079C" w:rsidP="00C923F0">
            <w:pPr>
              <w:spacing w:before="0" w:beforeAutospacing="0" w:after="160"/>
              <w:rPr>
                <w:b/>
                <w:bCs/>
              </w:rPr>
            </w:pPr>
            <m:oMathPara>
              <m:oMath>
                <m:r>
                  <m:rPr>
                    <m:sty m:val="bi"/>
                  </m:rPr>
                  <w:rPr>
                    <w:rFonts w:ascii="Cambria Math" w:hAnsi="Cambria Math"/>
                  </w:rPr>
                  <m:t>5.33</m:t>
                </m:r>
                <m:r>
                  <m:rPr>
                    <m:sty m:val="b"/>
                  </m:rPr>
                  <w:rPr>
                    <w:rFonts w:ascii="Cambria Math" w:hAnsi="Cambria Math"/>
                  </w:rPr>
                  <m:t xml:space="preserve">= </m:t>
                </m:r>
                <m:f>
                  <m:fPr>
                    <m:ctrlPr>
                      <w:rPr>
                        <w:rFonts w:ascii="Cambria Math" w:hAnsi="Cambria Math"/>
                        <w:b/>
                        <w:bCs/>
                      </w:rPr>
                    </m:ctrlPr>
                  </m:fPr>
                  <m:num>
                    <m:r>
                      <m:rPr>
                        <m:sty m:val="bi"/>
                      </m:rPr>
                      <w:rPr>
                        <w:rFonts w:ascii="Cambria Math" w:hAnsi="Cambria Math"/>
                      </w:rPr>
                      <m:t>8,000</m:t>
                    </m:r>
                  </m:num>
                  <m:den>
                    <m:r>
                      <m:rPr>
                        <m:sty m:val="b"/>
                      </m:rPr>
                      <w:rPr>
                        <w:rFonts w:ascii="Cambria Math" w:hAnsi="Cambria Math"/>
                      </w:rPr>
                      <m:t>1,500</m:t>
                    </m:r>
                  </m:den>
                </m:f>
              </m:oMath>
            </m:oMathPara>
          </w:p>
          <w:p w14:paraId="3D15CDB1" w14:textId="3B2345EC" w:rsidR="00195D8F" w:rsidRPr="00E813CA" w:rsidRDefault="00195D8F" w:rsidP="00C923F0">
            <w:pPr>
              <w:spacing w:before="0" w:beforeAutospacing="0" w:after="160"/>
            </w:pPr>
            <w:r>
              <w:t xml:space="preserve">The resulting emissions intensity is </w:t>
            </w:r>
            <w:r w:rsidR="00FC6F7A">
              <w:t>5</w:t>
            </w:r>
            <w:r>
              <w:t>.</w:t>
            </w:r>
            <w:r w:rsidR="00FC6F7A">
              <w:t>33</w:t>
            </w:r>
            <w:r w:rsidR="006703C9">
              <w:t xml:space="preserve"> </w:t>
            </w:r>
            <w:r>
              <w:t>kg CO</w:t>
            </w:r>
            <w:r w:rsidRPr="00E0151C">
              <w:rPr>
                <w:vertAlign w:val="subscript"/>
              </w:rPr>
              <w:t>2</w:t>
            </w:r>
            <w:r>
              <w:t>-e</w:t>
            </w:r>
            <w:r w:rsidR="006D3AF6" w:rsidRPr="005F6EBF">
              <w:t>/</w:t>
            </w:r>
            <w:r w:rsidR="006D3AF6">
              <w:t>kg</w:t>
            </w:r>
            <w:r w:rsidR="006D3AF6" w:rsidRPr="005F6EBF">
              <w:t xml:space="preserve"> </w:t>
            </w:r>
            <w:r w:rsidR="006D3AF6">
              <w:t>H</w:t>
            </w:r>
            <w:r w:rsidR="006D3AF6" w:rsidRPr="00E0151C">
              <w:rPr>
                <w:vertAlign w:val="subscript"/>
              </w:rPr>
              <w:t>2</w:t>
            </w:r>
            <w:r w:rsidR="00031C3C">
              <w:rPr>
                <w:vertAlign w:val="subscript"/>
              </w:rPr>
              <w:t xml:space="preserve"> </w:t>
            </w:r>
            <w:r w:rsidR="00031C3C">
              <w:t>produced</w:t>
            </w:r>
            <w:r>
              <w:t>.</w:t>
            </w:r>
          </w:p>
        </w:tc>
      </w:tr>
    </w:tbl>
    <w:p w14:paraId="55123626" w14:textId="77777777" w:rsidR="00FC6F7A" w:rsidRDefault="00FC6F7A" w:rsidP="00FC6F7A">
      <w:pPr>
        <w:pStyle w:val="Heading2"/>
        <w:numPr>
          <w:ilvl w:val="0"/>
          <w:numId w:val="0"/>
        </w:numPr>
        <w:spacing w:before="360"/>
      </w:pPr>
      <w:r>
        <w:br w:type="page"/>
      </w:r>
    </w:p>
    <w:p w14:paraId="37C0E8F6" w14:textId="249AF3EE" w:rsidR="00195D8F" w:rsidRPr="001D198B" w:rsidRDefault="00195D8F" w:rsidP="002C70EE">
      <w:pPr>
        <w:pStyle w:val="Heading2"/>
        <w:spacing w:before="360"/>
      </w:pPr>
      <w:bookmarkStart w:id="136" w:name="_Toc146029793"/>
      <w:r>
        <w:t>Post-production boundary emissions</w:t>
      </w:r>
      <w:r w:rsidR="00DE29C3">
        <w:t xml:space="preserve"> intensity</w:t>
      </w:r>
      <w:bookmarkEnd w:id="136"/>
    </w:p>
    <w:p w14:paraId="7EB5F550" w14:textId="2C746034" w:rsidR="00195D8F" w:rsidRDefault="00195D8F" w:rsidP="00195D8F">
      <w:r>
        <w:t>Following the initial creation process, the Product GO</w:t>
      </w:r>
      <w:r w:rsidR="00DF49D0">
        <w:t xml:space="preserve"> </w:t>
      </w:r>
      <w:r w:rsidR="0032059D">
        <w:t>C</w:t>
      </w:r>
      <w:r w:rsidR="00DF49D0">
        <w:t>ertificate</w:t>
      </w:r>
      <w:r>
        <w:t xml:space="preserve"> may have additional information added to it that reflects any transport and storage steps throughout the supply chain. The approach to calculating the </w:t>
      </w:r>
      <w:r w:rsidR="001A01E3">
        <w:t>total</w:t>
      </w:r>
      <w:r>
        <w:t xml:space="preserve"> emissions involves aggregating transport emissions</w:t>
      </w:r>
      <w:r w:rsidR="009A20B9">
        <w:t xml:space="preserve"> and </w:t>
      </w:r>
      <w:r>
        <w:t>storage emissions</w:t>
      </w:r>
      <w:r w:rsidR="00714443">
        <w:t xml:space="preserve"> and then deduct</w:t>
      </w:r>
      <w:r w:rsidR="00CA0217">
        <w:t>ing</w:t>
      </w:r>
      <w:r w:rsidR="00394B1B">
        <w:t xml:space="preserve"> </w:t>
      </w:r>
      <w:r w:rsidR="00316180">
        <w:t>emissions</w:t>
      </w:r>
      <w:r w:rsidR="0006743C">
        <w:t xml:space="preserve"> attributed to </w:t>
      </w:r>
      <w:r w:rsidR="008B6EA8">
        <w:t xml:space="preserve">other </w:t>
      </w:r>
      <w:r w:rsidR="0006743C">
        <w:t>products</w:t>
      </w:r>
      <w:r>
        <w:t xml:space="preserve">. </w:t>
      </w:r>
      <w:r w:rsidDel="00B45486">
        <w:t>T</w:t>
      </w:r>
      <w:r w:rsidR="00B45486">
        <w:t>otal</w:t>
      </w:r>
      <w:r w:rsidDel="00B45486">
        <w:t xml:space="preserve"> emissions </w:t>
      </w:r>
      <w:r w:rsidR="00587C43">
        <w:t>are</w:t>
      </w:r>
      <w:r w:rsidR="00B45486">
        <w:t xml:space="preserve"> </w:t>
      </w:r>
      <w:r>
        <w:t xml:space="preserve">divided by the quantity </w:t>
      </w:r>
      <w:r w:rsidR="00B45486">
        <w:t xml:space="preserve">delivered </w:t>
      </w:r>
      <w:r>
        <w:t xml:space="preserve">to derive the </w:t>
      </w:r>
      <w:r w:rsidR="001C657E">
        <w:t>post-production</w:t>
      </w:r>
      <w:r>
        <w:t xml:space="preserve"> emissions intensity value.</w:t>
      </w:r>
    </w:p>
    <w:p w14:paraId="014FAE25" w14:textId="4075584B" w:rsidR="008C1159" w:rsidRDefault="00195D8F" w:rsidP="00195D8F">
      <w:r>
        <w:t xml:space="preserve">Guidance on how to calculate the various components for this boundary is available in </w:t>
      </w:r>
      <w:r w:rsidR="006812A6">
        <w:t xml:space="preserve">Section </w:t>
      </w:r>
      <w:r w:rsidR="00982FB8">
        <w:t>3.2</w:t>
      </w:r>
      <w:r>
        <w:t>.</w:t>
      </w:r>
    </w:p>
    <w:tbl>
      <w:tblPr>
        <w:tblStyle w:val="CERCallout"/>
        <w:tblpPr w:leftFromText="180" w:rightFromText="180" w:vertAnchor="text" w:tblpY="1"/>
        <w:tblOverlap w:val="never"/>
        <w:tblW w:w="5000" w:type="pct"/>
        <w:tblLook w:val="0480" w:firstRow="0" w:lastRow="0" w:firstColumn="1" w:lastColumn="0" w:noHBand="0" w:noVBand="1"/>
        <w:tblCaption w:val="test"/>
        <w:tblDescription w:val="tesst"/>
      </w:tblPr>
      <w:tblGrid>
        <w:gridCol w:w="8996"/>
      </w:tblGrid>
      <w:tr w:rsidR="00195D8F" w14:paraId="548471EF" w14:textId="77777777" w:rsidTr="00A75A3B">
        <w:trPr>
          <w:cantSplit w:val="0"/>
        </w:trPr>
        <w:tc>
          <w:tcPr>
            <w:tcW w:w="0" w:type="pct"/>
          </w:tcPr>
          <w:p w14:paraId="45607512" w14:textId="1688C632" w:rsidR="00195D8F" w:rsidRPr="00C209F1" w:rsidRDefault="00195D8F" w:rsidP="00C923F0">
            <w:pPr>
              <w:pStyle w:val="Heading4"/>
              <w:numPr>
                <w:ilvl w:val="3"/>
                <w:numId w:val="0"/>
              </w:numPr>
              <w:spacing w:before="0" w:beforeAutospacing="0" w:after="160"/>
              <w:rPr>
                <w:b/>
                <w:bCs/>
                <w:i w:val="0"/>
                <w:iCs/>
              </w:rPr>
            </w:pPr>
            <w:r>
              <w:rPr>
                <w:b/>
                <w:bCs/>
                <w:i w:val="0"/>
                <w:iCs/>
              </w:rPr>
              <w:t>Post-production boundary emissions intensity in practice</w:t>
            </w:r>
          </w:p>
          <w:p w14:paraId="2078049D" w14:textId="44F3726B" w:rsidR="00195D8F" w:rsidRDefault="00195D8F" w:rsidP="00C923F0">
            <w:pPr>
              <w:spacing w:before="0" w:beforeAutospacing="0" w:after="160"/>
            </w:pPr>
            <w:r>
              <w:t xml:space="preserve">Facility A </w:t>
            </w:r>
            <w:r w:rsidR="00FC6F7A">
              <w:t xml:space="preserve">initially produced 1,500 kilograms of hydrogen at the </w:t>
            </w:r>
            <w:r w:rsidR="006736DC">
              <w:t xml:space="preserve">production gate. </w:t>
            </w:r>
            <w:r w:rsidR="00674E4B">
              <w:t xml:space="preserve">Of this, 1,480 kilograms of hydrogen remains after transporting the batch to the delivery gate. </w:t>
            </w:r>
            <w:r>
              <w:t>They estimate that 1,000 kg CO</w:t>
            </w:r>
            <w:r w:rsidRPr="00E0151C">
              <w:rPr>
                <w:vertAlign w:val="subscript"/>
              </w:rPr>
              <w:t>2</w:t>
            </w:r>
            <w:r>
              <w:t>-e is attributable to transport processes</w:t>
            </w:r>
            <w:r w:rsidR="0048527C">
              <w:t>, of this 100 kg CO</w:t>
            </w:r>
            <w:r w:rsidR="0048527C" w:rsidRPr="00E0151C">
              <w:rPr>
                <w:vertAlign w:val="subscript"/>
              </w:rPr>
              <w:t>2</w:t>
            </w:r>
            <w:r w:rsidR="0048527C">
              <w:t>-e is attributable to other products</w:t>
            </w:r>
            <w:r>
              <w:t>. They also estimate 200 kg CO</w:t>
            </w:r>
            <w:r w:rsidRPr="00E0151C">
              <w:rPr>
                <w:vertAlign w:val="subscript"/>
              </w:rPr>
              <w:t>2</w:t>
            </w:r>
            <w:r>
              <w:t>-e is attributable to storage processes.</w:t>
            </w:r>
          </w:p>
          <w:p w14:paraId="3755C30B" w14:textId="307D99E7" w:rsidR="00195D8F" w:rsidRDefault="00195D8F" w:rsidP="00C923F0">
            <w:pPr>
              <w:spacing w:before="0" w:beforeAutospacing="0" w:after="160"/>
            </w:pPr>
            <w:r>
              <w:t>The</w:t>
            </w:r>
            <w:r w:rsidDel="008C4FD1">
              <w:t xml:space="preserve"> </w:t>
            </w:r>
            <w:r w:rsidR="008C4FD1">
              <w:t xml:space="preserve">total </w:t>
            </w:r>
            <w:r>
              <w:t>emission</w:t>
            </w:r>
            <w:r w:rsidR="003B264D">
              <w:t>s</w:t>
            </w:r>
            <w:r>
              <w:t xml:space="preserve"> from the post-production boundary are proposed to be calculated using the below formula:</w:t>
            </w:r>
          </w:p>
          <w:p w14:paraId="702845D3" w14:textId="761AC086" w:rsidR="00195D8F" w:rsidRPr="00A91D40" w:rsidRDefault="00785FEC" w:rsidP="00C923F0">
            <w:pPr>
              <w:spacing w:before="0" w:beforeAutospacing="0" w:after="160"/>
            </w:pPr>
            <m:oMathPara>
              <m:oMathParaPr>
                <m:jc m:val="center"/>
              </m:oMathParaPr>
              <m:oMath>
                <m:sSub>
                  <m:sSubPr>
                    <m:ctrlPr>
                      <w:rPr>
                        <w:rFonts w:ascii="Cambria Math" w:hAnsi="Cambria Math"/>
                        <w:bCs/>
                      </w:rPr>
                    </m:ctrlPr>
                  </m:sSubPr>
                  <m:e>
                    <m:r>
                      <m:rPr>
                        <m:sty m:val="bi"/>
                      </m:rPr>
                      <w:rPr>
                        <w:rFonts w:ascii="Cambria Math" w:hAnsi="Cambria Math"/>
                      </w:rPr>
                      <m:t>E</m:t>
                    </m:r>
                  </m:e>
                  <m:sub>
                    <m:r>
                      <m:rPr>
                        <m:sty m:val="bi"/>
                      </m:rPr>
                      <w:rPr>
                        <w:rFonts w:ascii="Cambria Math" w:hAnsi="Cambria Math"/>
                      </w:rPr>
                      <m:t>post-production</m:t>
                    </m:r>
                  </m:sub>
                </m:sSub>
                <m:r>
                  <m:rPr>
                    <m:sty m:val="b"/>
                  </m:rPr>
                  <w:rPr>
                    <w:rFonts w:ascii="Cambria Math" w:hAnsi="Cambria Math"/>
                  </w:rPr>
                  <m:t xml:space="preserve">= </m:t>
                </m:r>
                <m:sSub>
                  <m:sSubPr>
                    <m:ctrlPr>
                      <w:rPr>
                        <w:rFonts w:ascii="Cambria Math" w:hAnsi="Cambria Math"/>
                        <w:bCs/>
                      </w:rPr>
                    </m:ctrlPr>
                  </m:sSubPr>
                  <m:e>
                    <m:r>
                      <m:rPr>
                        <m:sty m:val="bi"/>
                      </m:rPr>
                      <w:rPr>
                        <w:rFonts w:ascii="Cambria Math" w:hAnsi="Cambria Math"/>
                      </w:rPr>
                      <m:t>E</m:t>
                    </m:r>
                  </m:e>
                  <m:sub>
                    <m:r>
                      <m:rPr>
                        <m:sty m:val="bi"/>
                      </m:rPr>
                      <w:rPr>
                        <w:rFonts w:ascii="Cambria Math" w:hAnsi="Cambria Math"/>
                      </w:rPr>
                      <m:t>transport</m:t>
                    </m:r>
                  </m:sub>
                </m:sSub>
                <m:r>
                  <m:rPr>
                    <m:sty m:val="b"/>
                  </m:rPr>
                  <w:rPr>
                    <w:rFonts w:ascii="Cambria Math" w:hAnsi="Cambria Math"/>
                  </w:rPr>
                  <m:t>+</m:t>
                </m:r>
                <m:sSub>
                  <m:sSubPr>
                    <m:ctrlPr>
                      <w:rPr>
                        <w:rFonts w:ascii="Cambria Math" w:hAnsi="Cambria Math"/>
                        <w:bCs/>
                      </w:rPr>
                    </m:ctrlPr>
                  </m:sSubPr>
                  <m:e>
                    <m:r>
                      <m:rPr>
                        <m:sty m:val="bi"/>
                      </m:rPr>
                      <w:rPr>
                        <w:rFonts w:ascii="Cambria Math" w:hAnsi="Cambria Math"/>
                      </w:rPr>
                      <m:t>E</m:t>
                    </m:r>
                  </m:e>
                  <m:sub>
                    <m:r>
                      <m:rPr>
                        <m:sty m:val="bi"/>
                      </m:rPr>
                      <w:rPr>
                        <w:rFonts w:ascii="Cambria Math" w:hAnsi="Cambria Math"/>
                      </w:rPr>
                      <m:t>storage</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other products</m:t>
                    </m:r>
                    <m:ctrlPr>
                      <w:rPr>
                        <w:rFonts w:ascii="Cambria Math" w:hAnsi="Cambria Math"/>
                        <w:b/>
                        <w:bCs/>
                        <w:i/>
                      </w:rPr>
                    </m:ctrlPr>
                  </m:sub>
                </m:sSub>
              </m:oMath>
            </m:oMathPara>
          </w:p>
          <w:p w14:paraId="540B9EC5" w14:textId="77777777" w:rsidR="00195D8F" w:rsidRDefault="00195D8F" w:rsidP="00C923F0">
            <w:pPr>
              <w:spacing w:before="0" w:beforeAutospacing="0" w:after="160"/>
            </w:pPr>
            <w:r>
              <w:t>Substituting the example values into this equation produces the result:</w:t>
            </w:r>
          </w:p>
          <w:p w14:paraId="5CD6D3CA" w14:textId="0F533732" w:rsidR="00195D8F" w:rsidRPr="00F55F22" w:rsidRDefault="00F55F22" w:rsidP="00C923F0">
            <w:pPr>
              <w:spacing w:before="0" w:beforeAutospacing="0" w:after="160"/>
              <w:rPr>
                <w:b/>
                <w:bCs/>
              </w:rPr>
            </w:pPr>
            <m:oMathPara>
              <m:oMathParaPr>
                <m:jc m:val="center"/>
              </m:oMathParaPr>
              <m:oMath>
                <m:r>
                  <m:rPr>
                    <m:sty m:val="bi"/>
                  </m:rPr>
                  <w:rPr>
                    <w:rFonts w:ascii="Cambria Math" w:hAnsi="Cambria Math"/>
                  </w:rPr>
                  <m:t>1,100</m:t>
                </m:r>
                <m:r>
                  <m:rPr>
                    <m:sty m:val="b"/>
                  </m:rPr>
                  <w:rPr>
                    <w:rFonts w:ascii="Cambria Math" w:hAnsi="Cambria Math"/>
                  </w:rPr>
                  <m:t xml:space="preserve">= </m:t>
                </m:r>
                <m:r>
                  <m:rPr>
                    <m:sty m:val="bi"/>
                  </m:rPr>
                  <w:rPr>
                    <w:rFonts w:ascii="Cambria Math" w:hAnsi="Cambria Math"/>
                  </w:rPr>
                  <m:t>1,000</m:t>
                </m:r>
                <m:r>
                  <m:rPr>
                    <m:sty m:val="b"/>
                  </m:rPr>
                  <w:rPr>
                    <w:rFonts w:ascii="Cambria Math" w:hAnsi="Cambria Math"/>
                  </w:rPr>
                  <m:t>+200-100</m:t>
                </m:r>
              </m:oMath>
            </m:oMathPara>
          </w:p>
          <w:p w14:paraId="3887DFA0" w14:textId="10E32693" w:rsidR="00195D8F" w:rsidRDefault="00195D8F" w:rsidP="00C923F0">
            <w:pPr>
              <w:spacing w:before="0" w:beforeAutospacing="0" w:after="160"/>
            </w:pPr>
            <w:r>
              <w:t xml:space="preserve">This results in a </w:t>
            </w:r>
            <w:r w:rsidR="007A4F20">
              <w:t xml:space="preserve">total </w:t>
            </w:r>
            <w:r>
              <w:t xml:space="preserve">emissions value of </w:t>
            </w:r>
            <w:r w:rsidDel="007A4F20">
              <w:t>1,</w:t>
            </w:r>
            <w:r w:rsidR="007A4F20">
              <w:t>100</w:t>
            </w:r>
            <w:r>
              <w:t xml:space="preserve"> kg CO</w:t>
            </w:r>
            <w:r w:rsidRPr="00E0151C">
              <w:rPr>
                <w:vertAlign w:val="subscript"/>
              </w:rPr>
              <w:t>2</w:t>
            </w:r>
            <w:r>
              <w:t>-e.</w:t>
            </w:r>
          </w:p>
          <w:p w14:paraId="4F9ABE89" w14:textId="39474198" w:rsidR="00195D8F" w:rsidRPr="005F6EBF" w:rsidRDefault="00195D8F" w:rsidP="00C923F0">
            <w:pPr>
              <w:spacing w:before="0" w:beforeAutospacing="0" w:after="160"/>
            </w:pPr>
            <w:r w:rsidRPr="005F6EBF">
              <w:t xml:space="preserve">Gross emissions intensity in terms of </w:t>
            </w:r>
            <w:r>
              <w:t>kg</w:t>
            </w:r>
            <w:r w:rsidRPr="005F6EBF">
              <w:t xml:space="preserve"> CO</w:t>
            </w:r>
            <w:r w:rsidRPr="006654CB">
              <w:rPr>
                <w:vertAlign w:val="subscript"/>
              </w:rPr>
              <w:t>2</w:t>
            </w:r>
            <w:r w:rsidRPr="005F6EBF">
              <w:t>-e</w:t>
            </w:r>
            <w:r w:rsidR="00DC2B5A">
              <w:t>/kg H</w:t>
            </w:r>
            <w:r w:rsidR="00DC2B5A" w:rsidRPr="00E0151C">
              <w:rPr>
                <w:vertAlign w:val="subscript"/>
              </w:rPr>
              <w:t>2</w:t>
            </w:r>
            <w:r w:rsidRPr="005F6EBF">
              <w:t xml:space="preserve"> produced are calculated as follows:</w:t>
            </w:r>
          </w:p>
          <w:p w14:paraId="7E8C7D8F" w14:textId="5632367A" w:rsidR="00195D8F" w:rsidRPr="008C7727" w:rsidRDefault="00785FEC" w:rsidP="00C923F0">
            <w:pPr>
              <w:spacing w:before="0" w:beforeAutospacing="0" w:after="160"/>
            </w:pPr>
            <m:oMathPara>
              <m:oMath>
                <m:sSub>
                  <m:sSubPr>
                    <m:ctrlPr>
                      <w:rPr>
                        <w:rFonts w:ascii="Cambria Math" w:hAnsi="Cambria Math"/>
                        <w:bCs/>
                      </w:rPr>
                    </m:ctrlPr>
                  </m:sSubPr>
                  <m:e>
                    <m:r>
                      <m:rPr>
                        <m:sty m:val="bi"/>
                      </m:rPr>
                      <w:rPr>
                        <w:rFonts w:ascii="Cambria Math" w:hAnsi="Cambria Math"/>
                      </w:rPr>
                      <m:t>EI</m:t>
                    </m:r>
                  </m:e>
                  <m:sub>
                    <m:r>
                      <m:rPr>
                        <m:sty m:val="bi"/>
                      </m:rPr>
                      <w:rPr>
                        <w:rFonts w:ascii="Cambria Math" w:hAnsi="Cambria Math"/>
                      </w:rPr>
                      <m:t>post-production</m:t>
                    </m:r>
                  </m:sub>
                </m:sSub>
                <m:r>
                  <m:rPr>
                    <m:sty m:val="b"/>
                  </m:rPr>
                  <w:rPr>
                    <w:rFonts w:ascii="Cambria Math" w:hAnsi="Cambria Math"/>
                  </w:rPr>
                  <m:t xml:space="preserve">= </m:t>
                </m:r>
                <m:f>
                  <m:fPr>
                    <m:ctrlPr>
                      <w:rPr>
                        <w:rFonts w:ascii="Cambria Math" w:hAnsi="Cambria Math"/>
                        <w:bCs/>
                      </w:rPr>
                    </m:ctrlPr>
                  </m:fPr>
                  <m:num>
                    <m:sSub>
                      <m:sSubPr>
                        <m:ctrlPr>
                          <w:rPr>
                            <w:rFonts w:ascii="Cambria Math" w:hAnsi="Cambria Math"/>
                            <w:bCs/>
                          </w:rPr>
                        </m:ctrlPr>
                      </m:sSubPr>
                      <m:e>
                        <m:r>
                          <m:rPr>
                            <m:sty m:val="bi"/>
                          </m:rPr>
                          <w:rPr>
                            <w:rFonts w:ascii="Cambria Math" w:hAnsi="Cambria Math"/>
                          </w:rPr>
                          <m:t>E</m:t>
                        </m:r>
                      </m:e>
                      <m:sub>
                        <m:r>
                          <m:rPr>
                            <m:sty m:val="bi"/>
                          </m:rPr>
                          <w:rPr>
                            <w:rFonts w:ascii="Cambria Math" w:hAnsi="Cambria Math"/>
                          </w:rPr>
                          <m:t>post-production</m:t>
                        </m:r>
                        <m:r>
                          <m:rPr>
                            <m:sty m:val="b"/>
                          </m:rPr>
                          <w:rPr>
                            <w:rFonts w:ascii="Cambria Math" w:hAnsi="Cambria Math"/>
                          </w:rPr>
                          <m:t xml:space="preserve">  </m:t>
                        </m:r>
                      </m:sub>
                    </m:sSub>
                  </m:num>
                  <m:den>
                    <m:sSub>
                      <m:sSubPr>
                        <m:ctrlPr>
                          <w:rPr>
                            <w:rFonts w:ascii="Cambria Math" w:hAnsi="Cambria Math"/>
                            <w:bCs/>
                          </w:rPr>
                        </m:ctrlPr>
                      </m:sSubPr>
                      <m:e>
                        <m:r>
                          <m:rPr>
                            <m:sty m:val="bi"/>
                          </m:rPr>
                          <w:rPr>
                            <w:rFonts w:ascii="Cambria Math" w:hAnsi="Cambria Math"/>
                          </w:rPr>
                          <m:t>Q</m:t>
                        </m:r>
                      </m:e>
                      <m:sub>
                        <m:r>
                          <m:rPr>
                            <m:sty m:val="bi"/>
                          </m:rPr>
                          <w:rPr>
                            <w:rFonts w:ascii="Cambria Math" w:hAnsi="Cambria Math"/>
                          </w:rPr>
                          <m:t>delivered</m:t>
                        </m:r>
                      </m:sub>
                    </m:sSub>
                  </m:den>
                </m:f>
              </m:oMath>
            </m:oMathPara>
          </w:p>
          <w:p w14:paraId="4CDDFAE3" w14:textId="2185DBCE" w:rsidR="002B2467" w:rsidRDefault="00F55F22" w:rsidP="00C923F0">
            <w:pPr>
              <w:spacing w:before="0" w:beforeAutospacing="0" w:after="160"/>
            </w:pPr>
            <w:r>
              <w:t>W</w:t>
            </w:r>
            <w:r w:rsidR="002B2467">
              <w:t xml:space="preserve">here </w:t>
            </w:r>
            <m:oMath>
              <m:sSub>
                <m:sSubPr>
                  <m:ctrlPr>
                    <w:rPr>
                      <w:rFonts w:ascii="Cambria Math" w:hAnsi="Cambria Math"/>
                      <w:bCs/>
                    </w:rPr>
                  </m:ctrlPr>
                </m:sSubPr>
                <m:e>
                  <m:r>
                    <m:rPr>
                      <m:sty m:val="bi"/>
                    </m:rPr>
                    <w:rPr>
                      <w:rFonts w:ascii="Cambria Math" w:hAnsi="Cambria Math"/>
                    </w:rPr>
                    <m:t>Q</m:t>
                  </m:r>
                </m:e>
                <m:sub>
                  <m:r>
                    <m:rPr>
                      <m:sty m:val="bi"/>
                    </m:rPr>
                    <w:rPr>
                      <w:rFonts w:ascii="Cambria Math" w:hAnsi="Cambria Math"/>
                    </w:rPr>
                    <m:t>delivered</m:t>
                  </m:r>
                </m:sub>
              </m:sSub>
              <m:r>
                <w:rPr>
                  <w:rFonts w:ascii="Cambria Math" w:hAnsi="Cambria Math"/>
                </w:rPr>
                <m:t xml:space="preserve"> </m:t>
              </m:r>
            </m:oMath>
            <w:r w:rsidR="002B2467">
              <w:rPr>
                <w:bCs/>
              </w:rPr>
              <w:t xml:space="preserve">is the quantity of hydrogen </w:t>
            </w:r>
            <w:r w:rsidR="001E1D96">
              <w:rPr>
                <w:bCs/>
              </w:rPr>
              <w:t>delivered to the end user at</w:t>
            </w:r>
            <w:r w:rsidR="003D6C6A">
              <w:rPr>
                <w:bCs/>
              </w:rPr>
              <w:t xml:space="preserve"> </w:t>
            </w:r>
            <w:r w:rsidR="00386FE9">
              <w:rPr>
                <w:bCs/>
              </w:rPr>
              <w:t>the delivery gate</w:t>
            </w:r>
            <w:r w:rsidR="002B2467">
              <w:rPr>
                <w:bCs/>
              </w:rPr>
              <w:t>.</w:t>
            </w:r>
          </w:p>
          <w:p w14:paraId="6EB9D773" w14:textId="77777777" w:rsidR="00195D8F" w:rsidRDefault="00195D8F" w:rsidP="00C923F0">
            <w:pPr>
              <w:spacing w:before="0" w:beforeAutospacing="0" w:after="160"/>
            </w:pPr>
            <w:r>
              <w:t>Substituting the values from the example above into this equation results in:</w:t>
            </w:r>
          </w:p>
          <w:p w14:paraId="6A8B4465" w14:textId="41998410" w:rsidR="00195D8F" w:rsidRPr="0097628D" w:rsidRDefault="00007EC8" w:rsidP="00C923F0">
            <w:pPr>
              <w:spacing w:before="0" w:beforeAutospacing="0" w:after="160"/>
              <w:rPr>
                <w:b/>
              </w:rPr>
            </w:pPr>
            <m:oMathPara>
              <m:oMath>
                <m:r>
                  <m:rPr>
                    <m:sty m:val="bi"/>
                  </m:rPr>
                  <w:rPr>
                    <w:rFonts w:ascii="Cambria Math" w:hAnsi="Cambria Math"/>
                  </w:rPr>
                  <m:t>0.74</m:t>
                </m:r>
                <m:r>
                  <m:rPr>
                    <m:sty m:val="b"/>
                  </m:rPr>
                  <w:rPr>
                    <w:rFonts w:ascii="Cambria Math" w:hAnsi="Cambria Math"/>
                  </w:rPr>
                  <m:t xml:space="preserve">= </m:t>
                </m:r>
                <m:f>
                  <m:fPr>
                    <m:ctrlPr>
                      <w:rPr>
                        <w:rFonts w:ascii="Cambria Math" w:hAnsi="Cambria Math"/>
                        <w:b/>
                      </w:rPr>
                    </m:ctrlPr>
                  </m:fPr>
                  <m:num>
                    <m:r>
                      <m:rPr>
                        <m:sty m:val="bi"/>
                      </m:rPr>
                      <w:rPr>
                        <w:rFonts w:ascii="Cambria Math" w:hAnsi="Cambria Math"/>
                      </w:rPr>
                      <m:t>1,100</m:t>
                    </m:r>
                  </m:num>
                  <m:den>
                    <m:r>
                      <m:rPr>
                        <m:sty m:val="b"/>
                      </m:rPr>
                      <w:rPr>
                        <w:rFonts w:ascii="Cambria Math" w:hAnsi="Cambria Math"/>
                      </w:rPr>
                      <m:t>1,480</m:t>
                    </m:r>
                  </m:den>
                </m:f>
              </m:oMath>
            </m:oMathPara>
          </w:p>
          <w:p w14:paraId="7BCBCD00" w14:textId="06CB29AB" w:rsidR="00195D8F" w:rsidRPr="00E813CA" w:rsidRDefault="00195D8F" w:rsidP="00C923F0">
            <w:pPr>
              <w:spacing w:before="0" w:beforeAutospacing="0" w:after="160"/>
            </w:pPr>
            <w:r>
              <w:t xml:space="preserve">This results in a post-production </w:t>
            </w:r>
            <w:r w:rsidR="00F3245D">
              <w:t xml:space="preserve">total </w:t>
            </w:r>
            <w:r>
              <w:t xml:space="preserve">emissions intensity of </w:t>
            </w:r>
            <w:r w:rsidR="00D008F1">
              <w:t>0.73</w:t>
            </w:r>
            <w:r w:rsidR="00DC2B5A">
              <w:t xml:space="preserve"> kg CO</w:t>
            </w:r>
            <w:r w:rsidR="00DC2B5A" w:rsidRPr="00430B6F">
              <w:rPr>
                <w:vertAlign w:val="subscript"/>
              </w:rPr>
              <w:t>2</w:t>
            </w:r>
            <w:r w:rsidR="00DC2B5A">
              <w:t>-e/kg</w:t>
            </w:r>
            <w:r w:rsidR="00DC2B5A">
              <w:rPr>
                <w:rFonts w:cstheme="minorHAnsi"/>
              </w:rPr>
              <w:t> </w:t>
            </w:r>
            <w:r w:rsidR="00DC2B5A">
              <w:t>H</w:t>
            </w:r>
            <w:r w:rsidR="00DC2B5A" w:rsidRPr="00C82BE1">
              <w:rPr>
                <w:vertAlign w:val="subscript"/>
              </w:rPr>
              <w:t>2</w:t>
            </w:r>
            <w:r w:rsidR="00F55F22">
              <w:t xml:space="preserve"> delivered</w:t>
            </w:r>
            <w:r>
              <w:t>.</w:t>
            </w:r>
          </w:p>
        </w:tc>
      </w:tr>
    </w:tbl>
    <w:p w14:paraId="2E39038B" w14:textId="15918101" w:rsidR="005B0086" w:rsidRDefault="005B0086" w:rsidP="005B0086">
      <w:pPr>
        <w:pStyle w:val="Heading2"/>
        <w:numPr>
          <w:ilvl w:val="0"/>
          <w:numId w:val="0"/>
        </w:numPr>
        <w:spacing w:before="360"/>
      </w:pPr>
      <w:bookmarkStart w:id="137" w:name="_Ref141805222"/>
      <w:r>
        <w:br w:type="page"/>
      </w:r>
    </w:p>
    <w:p w14:paraId="76AF6A42" w14:textId="2D8DA67E" w:rsidR="00195D8F" w:rsidRPr="001D198B" w:rsidRDefault="00195D8F" w:rsidP="002C70EE">
      <w:pPr>
        <w:pStyle w:val="Heading2"/>
        <w:spacing w:before="360"/>
      </w:pPr>
      <w:bookmarkStart w:id="138" w:name="_Toc146029794"/>
      <w:r>
        <w:t>Loss correction term</w:t>
      </w:r>
      <w:bookmarkEnd w:id="137"/>
      <w:bookmarkEnd w:id="138"/>
    </w:p>
    <w:p w14:paraId="428C5B3D" w14:textId="76E57F8F" w:rsidR="00195D8F" w:rsidRDefault="00195D8F" w:rsidP="00195D8F">
      <w:r>
        <w:t>The final component of the emissions intensity reported on Product GO</w:t>
      </w:r>
      <w:r w:rsidR="00DF49D0">
        <w:t xml:space="preserve"> </w:t>
      </w:r>
      <w:r w:rsidR="00525065">
        <w:t>C</w:t>
      </w:r>
      <w:r w:rsidR="00DF49D0">
        <w:t>ertificate</w:t>
      </w:r>
      <w:r>
        <w:t xml:space="preserve">s is a loss correction term to spread the </w:t>
      </w:r>
      <w:r w:rsidR="002128AD">
        <w:t xml:space="preserve">production boundary </w:t>
      </w:r>
      <w:r>
        <w:t xml:space="preserve">emissions attributable to product losses across the remaining quantity. The loss correction is applied following the completion of transport and storage processes and once the final consumption quantity has been confirmed. The loss correction </w:t>
      </w:r>
      <w:r w:rsidR="00441B60">
        <w:t xml:space="preserve">term </w:t>
      </w:r>
      <w:r>
        <w:t xml:space="preserve">is calculated </w:t>
      </w:r>
      <w:r w:rsidR="00237CFC">
        <w:t xml:space="preserve">by multiplying the </w:t>
      </w:r>
      <w:r w:rsidR="005E0134">
        <w:t>production emissions intensity value by the ratio of the lo</w:t>
      </w:r>
      <w:r w:rsidR="00287F84">
        <w:t xml:space="preserve">st product </w:t>
      </w:r>
      <w:r w:rsidR="00441B60">
        <w:t>quantity to</w:t>
      </w:r>
      <w:r w:rsidR="00287F84">
        <w:t xml:space="preserve"> the delivered product</w:t>
      </w:r>
      <w:r w:rsidR="00441B60">
        <w:t xml:space="preserve"> quantity</w:t>
      </w:r>
      <w:r w:rsidR="00287F84">
        <w:t>.</w:t>
      </w:r>
    </w:p>
    <w:tbl>
      <w:tblPr>
        <w:tblStyle w:val="CERCallout"/>
        <w:tblpPr w:leftFromText="180" w:rightFromText="180" w:vertAnchor="text" w:tblpY="1"/>
        <w:tblOverlap w:val="never"/>
        <w:tblW w:w="0" w:type="auto"/>
        <w:tblLook w:val="04A0" w:firstRow="1" w:lastRow="0" w:firstColumn="1" w:lastColumn="0" w:noHBand="0" w:noVBand="1"/>
      </w:tblPr>
      <w:tblGrid>
        <w:gridCol w:w="8996"/>
      </w:tblGrid>
      <w:tr w:rsidR="00195D8F" w14:paraId="77FC21DC" w14:textId="77777777" w:rsidTr="00A75A3B">
        <w:trPr>
          <w:cnfStyle w:val="100000000000" w:firstRow="1" w:lastRow="0" w:firstColumn="0" w:lastColumn="0" w:oddVBand="0" w:evenVBand="0" w:oddHBand="0" w:evenHBand="0" w:firstRowFirstColumn="0" w:firstRowLastColumn="0" w:lastRowFirstColumn="0" w:lastRowLastColumn="0"/>
        </w:trPr>
        <w:tc>
          <w:tcPr>
            <w:tcW w:w="8996" w:type="dxa"/>
          </w:tcPr>
          <w:p w14:paraId="7BAD38D2" w14:textId="691ED391" w:rsidR="00195D8F" w:rsidRPr="002812DD" w:rsidRDefault="00195D8F" w:rsidP="00C923F0">
            <w:pPr>
              <w:pStyle w:val="Heading4"/>
              <w:numPr>
                <w:ilvl w:val="3"/>
                <w:numId w:val="0"/>
              </w:numPr>
              <w:spacing w:before="0" w:beforeAutospacing="0" w:after="160"/>
              <w:rPr>
                <w:b w:val="0"/>
                <w:bCs/>
                <w:i w:val="0"/>
                <w:iCs/>
              </w:rPr>
            </w:pPr>
            <w:r>
              <w:rPr>
                <w:bCs/>
                <w:i w:val="0"/>
                <w:iCs/>
              </w:rPr>
              <w:t xml:space="preserve">Loss </w:t>
            </w:r>
            <w:r w:rsidR="002128AD">
              <w:rPr>
                <w:bCs/>
                <w:i w:val="0"/>
                <w:iCs/>
              </w:rPr>
              <w:t>correction</w:t>
            </w:r>
            <w:r>
              <w:rPr>
                <w:bCs/>
                <w:i w:val="0"/>
                <w:iCs/>
              </w:rPr>
              <w:t xml:space="preserve"> in practice</w:t>
            </w:r>
          </w:p>
          <w:p w14:paraId="3F69D6C9" w14:textId="0DDDE1C2" w:rsidR="00195D8F" w:rsidRDefault="00195D8F" w:rsidP="00C923F0">
            <w:pPr>
              <w:spacing w:before="0" w:beforeAutospacing="0" w:after="160"/>
              <w:rPr>
                <w:bCs/>
              </w:rPr>
            </w:pPr>
            <w:r>
              <w:rPr>
                <w:b w:val="0"/>
                <w:bCs/>
                <w:sz w:val="20"/>
              </w:rPr>
              <w:t xml:space="preserve">Facility A produces </w:t>
            </w:r>
            <w:r w:rsidR="005D71BE">
              <w:rPr>
                <w:b w:val="0"/>
                <w:bCs/>
                <w:sz w:val="20"/>
              </w:rPr>
              <w:t>1,500</w:t>
            </w:r>
            <w:r>
              <w:rPr>
                <w:b w:val="0"/>
                <w:bCs/>
                <w:sz w:val="20"/>
              </w:rPr>
              <w:t xml:space="preserve"> kilograms of hydrogen initially</w:t>
            </w:r>
            <w:r w:rsidR="0003000A">
              <w:rPr>
                <w:b w:val="0"/>
                <w:bCs/>
                <w:sz w:val="20"/>
              </w:rPr>
              <w:t>. H</w:t>
            </w:r>
            <w:r>
              <w:rPr>
                <w:b w:val="0"/>
                <w:bCs/>
                <w:sz w:val="20"/>
              </w:rPr>
              <w:t>owever</w:t>
            </w:r>
            <w:r w:rsidR="0003000A">
              <w:rPr>
                <w:b w:val="0"/>
                <w:bCs/>
                <w:sz w:val="20"/>
              </w:rPr>
              <w:t>,</w:t>
            </w:r>
            <w:r>
              <w:rPr>
                <w:b w:val="0"/>
                <w:bCs/>
                <w:sz w:val="20"/>
              </w:rPr>
              <w:t xml:space="preserve"> after transport and storage events occur, the recorded quantity of hydrogen at the point of consumption is </w:t>
            </w:r>
            <w:r w:rsidR="005D71BE">
              <w:rPr>
                <w:b w:val="0"/>
                <w:bCs/>
                <w:sz w:val="20"/>
              </w:rPr>
              <w:t>1,480</w:t>
            </w:r>
            <w:r>
              <w:rPr>
                <w:b w:val="0"/>
                <w:bCs/>
                <w:sz w:val="20"/>
              </w:rPr>
              <w:t xml:space="preserve"> kilograms. The emissions intensity from the production boundar</w:t>
            </w:r>
            <w:r w:rsidR="002F4CAF">
              <w:rPr>
                <w:b w:val="0"/>
                <w:bCs/>
                <w:sz w:val="20"/>
              </w:rPr>
              <w:t>y</w:t>
            </w:r>
            <w:r>
              <w:rPr>
                <w:b w:val="0"/>
                <w:bCs/>
                <w:sz w:val="20"/>
              </w:rPr>
              <w:t xml:space="preserve"> is </w:t>
            </w:r>
            <w:r w:rsidR="005D71BE">
              <w:rPr>
                <w:b w:val="0"/>
                <w:bCs/>
                <w:sz w:val="20"/>
              </w:rPr>
              <w:t>5</w:t>
            </w:r>
            <w:r w:rsidRPr="3F8A41FB">
              <w:rPr>
                <w:b w:val="0"/>
                <w:sz w:val="20"/>
              </w:rPr>
              <w:t>.</w:t>
            </w:r>
            <w:r w:rsidR="005D71BE">
              <w:rPr>
                <w:b w:val="0"/>
                <w:sz w:val="20"/>
              </w:rPr>
              <w:t>33</w:t>
            </w:r>
            <w:r w:rsidR="00FF4EA4">
              <w:t xml:space="preserve"> </w:t>
            </w:r>
            <w:r w:rsidR="00FF4EA4" w:rsidRPr="3F8A41FB">
              <w:rPr>
                <w:b w:val="0"/>
                <w:sz w:val="20"/>
              </w:rPr>
              <w:t>kg CO</w:t>
            </w:r>
            <w:r w:rsidR="00FF4EA4" w:rsidRPr="3F8A41FB">
              <w:rPr>
                <w:b w:val="0"/>
                <w:sz w:val="20"/>
                <w:vertAlign w:val="subscript"/>
              </w:rPr>
              <w:t>2</w:t>
            </w:r>
            <w:r w:rsidR="00FF4EA4" w:rsidRPr="3F8A41FB">
              <w:rPr>
                <w:b w:val="0"/>
                <w:sz w:val="20"/>
              </w:rPr>
              <w:t>-e/kg H</w:t>
            </w:r>
            <w:r w:rsidR="00FF4EA4" w:rsidRPr="3F8A41FB">
              <w:rPr>
                <w:b w:val="0"/>
                <w:sz w:val="20"/>
                <w:vertAlign w:val="subscript"/>
              </w:rPr>
              <w:t>2</w:t>
            </w:r>
            <w:r>
              <w:rPr>
                <w:b w:val="0"/>
                <w:sz w:val="20"/>
              </w:rPr>
              <w:t>.</w:t>
            </w:r>
          </w:p>
          <w:p w14:paraId="5A61B8A8" w14:textId="77777777" w:rsidR="00195D8F" w:rsidRDefault="00195D8F" w:rsidP="00C923F0">
            <w:pPr>
              <w:spacing w:before="0" w:beforeAutospacing="0" w:after="160"/>
              <w:rPr>
                <w:bCs/>
              </w:rPr>
            </w:pPr>
            <w:r>
              <w:rPr>
                <w:b w:val="0"/>
                <w:bCs/>
                <w:sz w:val="20"/>
              </w:rPr>
              <w:t>The proposed approach to calculating the loss correction term is as follows:</w:t>
            </w:r>
          </w:p>
          <w:p w14:paraId="71F5E47D" w14:textId="7728B95D" w:rsidR="00195D8F" w:rsidRPr="00EC6788" w:rsidRDefault="00015FB3" w:rsidP="00C923F0">
            <w:pPr>
              <w:spacing w:before="0" w:beforeAutospacing="0" w:after="160"/>
              <w:rPr>
                <w:bCs/>
                <w:sz w:val="20"/>
                <w:szCs w:val="16"/>
              </w:rPr>
            </w:pPr>
            <m:oMathPara>
              <m:oMath>
                <m:sSub>
                  <m:sSubPr>
                    <m:ctrlPr>
                      <w:rPr>
                        <w:rFonts w:ascii="Cambria Math" w:hAnsi="Cambria Math"/>
                        <w:bCs/>
                        <w:i/>
                        <w:sz w:val="20"/>
                        <w:szCs w:val="16"/>
                      </w:rPr>
                    </m:ctrlPr>
                  </m:sSubPr>
                  <m:e>
                    <m:r>
                      <m:rPr>
                        <m:sty m:val="bi"/>
                      </m:rPr>
                      <w:rPr>
                        <w:rFonts w:ascii="Cambria Math" w:hAnsi="Cambria Math"/>
                        <w:sz w:val="20"/>
                        <w:szCs w:val="16"/>
                      </w:rPr>
                      <m:t>EI</m:t>
                    </m:r>
                  </m:e>
                  <m:sub>
                    <m:r>
                      <m:rPr>
                        <m:sty m:val="bi"/>
                      </m:rPr>
                      <w:rPr>
                        <w:rFonts w:ascii="Cambria Math" w:hAnsi="Cambria Math"/>
                        <w:sz w:val="20"/>
                        <w:szCs w:val="16"/>
                      </w:rPr>
                      <m:t>loss correction</m:t>
                    </m:r>
                  </m:sub>
                </m:sSub>
                <m:r>
                  <m:rPr>
                    <m:sty m:val="bi"/>
                  </m:rPr>
                  <w:rPr>
                    <w:rFonts w:ascii="Cambria Math" w:hAnsi="Cambria Math"/>
                    <w:sz w:val="20"/>
                    <w:szCs w:val="16"/>
                  </w:rPr>
                  <m:t>=</m:t>
                </m:r>
                <m:f>
                  <m:fPr>
                    <m:ctrlPr>
                      <w:rPr>
                        <w:rFonts w:ascii="Cambria Math" w:hAnsi="Cambria Math"/>
                        <w:bCs/>
                        <w:i/>
                        <w:sz w:val="20"/>
                        <w:szCs w:val="16"/>
                      </w:rPr>
                    </m:ctrlPr>
                  </m:fPr>
                  <m:num>
                    <m:sSub>
                      <m:sSubPr>
                        <m:ctrlPr>
                          <w:rPr>
                            <w:rFonts w:ascii="Cambria Math" w:hAnsi="Cambria Math"/>
                            <w:b w:val="0"/>
                            <w:bCs/>
                            <w:i/>
                            <w:sz w:val="20"/>
                            <w:szCs w:val="16"/>
                          </w:rPr>
                        </m:ctrlPr>
                      </m:sSubPr>
                      <m:e>
                        <m:r>
                          <m:rPr>
                            <m:sty m:val="bi"/>
                          </m:rPr>
                          <w:rPr>
                            <w:rFonts w:ascii="Cambria Math" w:hAnsi="Cambria Math"/>
                            <w:sz w:val="20"/>
                            <w:szCs w:val="16"/>
                          </w:rPr>
                          <m:t>Q</m:t>
                        </m:r>
                        <m:ctrlPr>
                          <w:rPr>
                            <w:rFonts w:ascii="Cambria Math" w:hAnsi="Cambria Math"/>
                            <w:bCs/>
                            <w:i/>
                            <w:sz w:val="20"/>
                            <w:szCs w:val="16"/>
                          </w:rPr>
                        </m:ctrlPr>
                      </m:e>
                      <m:sub>
                        <m:r>
                          <m:rPr>
                            <m:sty m:val="bi"/>
                          </m:rPr>
                          <w:rPr>
                            <w:rFonts w:ascii="Cambria Math" w:hAnsi="Cambria Math"/>
                            <w:sz w:val="20"/>
                            <w:szCs w:val="16"/>
                          </w:rPr>
                          <m:t>lost</m:t>
                        </m:r>
                      </m:sub>
                    </m:sSub>
                    <m:ctrlPr>
                      <w:rPr>
                        <w:rFonts w:ascii="Cambria Math" w:hAnsi="Cambria Math"/>
                        <w:bCs/>
                        <w:i/>
                        <w:szCs w:val="16"/>
                      </w:rPr>
                    </m:ctrlPr>
                  </m:num>
                  <m:den>
                    <m:sSub>
                      <m:sSubPr>
                        <m:ctrlPr>
                          <w:rPr>
                            <w:rFonts w:ascii="Cambria Math" w:hAnsi="Cambria Math"/>
                            <w:bCs/>
                            <w:i/>
                            <w:sz w:val="20"/>
                            <w:szCs w:val="16"/>
                          </w:rPr>
                        </m:ctrlPr>
                      </m:sSubPr>
                      <m:e>
                        <m:r>
                          <m:rPr>
                            <m:sty m:val="bi"/>
                          </m:rPr>
                          <w:rPr>
                            <w:rFonts w:ascii="Cambria Math" w:hAnsi="Cambria Math"/>
                            <w:sz w:val="20"/>
                            <w:szCs w:val="16"/>
                          </w:rPr>
                          <m:t>Q</m:t>
                        </m:r>
                      </m:e>
                      <m:sub>
                        <m:r>
                          <m:rPr>
                            <m:sty m:val="bi"/>
                          </m:rPr>
                          <w:rPr>
                            <w:rFonts w:ascii="Cambria Math" w:hAnsi="Cambria Math"/>
                            <w:sz w:val="20"/>
                            <w:szCs w:val="16"/>
                          </w:rPr>
                          <m:t>delivered</m:t>
                        </m:r>
                      </m:sub>
                    </m:sSub>
                  </m:den>
                </m:f>
                <m:r>
                  <m:rPr>
                    <m:sty m:val="bi"/>
                  </m:rPr>
                  <w:rPr>
                    <w:rFonts w:ascii="Cambria Math" w:hAnsi="Cambria Math"/>
                    <w:sz w:val="20"/>
                  </w:rPr>
                  <m:t>×</m:t>
                </m:r>
                <m:sSub>
                  <m:sSubPr>
                    <m:ctrlPr>
                      <w:rPr>
                        <w:rFonts w:ascii="Cambria Math" w:hAnsi="Cambria Math"/>
                        <w:bCs/>
                        <w:i/>
                        <w:sz w:val="20"/>
                        <w:szCs w:val="16"/>
                      </w:rPr>
                    </m:ctrlPr>
                  </m:sSubPr>
                  <m:e>
                    <m:r>
                      <m:rPr>
                        <m:sty m:val="bi"/>
                      </m:rPr>
                      <w:rPr>
                        <w:rFonts w:ascii="Cambria Math" w:hAnsi="Cambria Math"/>
                        <w:sz w:val="20"/>
                        <w:szCs w:val="16"/>
                      </w:rPr>
                      <m:t>EI</m:t>
                    </m:r>
                  </m:e>
                  <m:sub>
                    <m:r>
                      <m:rPr>
                        <m:sty m:val="bi"/>
                      </m:rPr>
                      <w:rPr>
                        <w:rFonts w:ascii="Cambria Math" w:hAnsi="Cambria Math"/>
                        <w:sz w:val="20"/>
                        <w:szCs w:val="16"/>
                      </w:rPr>
                      <m:t>production</m:t>
                    </m:r>
                  </m:sub>
                </m:sSub>
              </m:oMath>
            </m:oMathPara>
          </w:p>
          <w:p w14:paraId="014B78FD" w14:textId="77777777" w:rsidR="00195D8F" w:rsidRDefault="00195D8F" w:rsidP="00C923F0">
            <w:pPr>
              <w:spacing w:before="0" w:beforeAutospacing="0" w:after="160"/>
              <w:rPr>
                <w:bCs/>
              </w:rPr>
            </w:pPr>
            <w:r>
              <w:rPr>
                <w:b w:val="0"/>
                <w:bCs/>
                <w:sz w:val="20"/>
              </w:rPr>
              <w:t>Where:</w:t>
            </w:r>
          </w:p>
          <w:p w14:paraId="43442D09" w14:textId="5379DBE4" w:rsidR="00195D8F" w:rsidRPr="002128AD" w:rsidRDefault="00785FEC" w:rsidP="002128AD">
            <w:pPr>
              <w:spacing w:before="0" w:beforeAutospacing="0" w:after="160"/>
              <w:rPr>
                <w:bCs/>
                <w:szCs w:val="16"/>
              </w:rPr>
            </w:pPr>
            <m:oMath>
              <m:sSub>
                <m:sSubPr>
                  <m:ctrlPr>
                    <w:rPr>
                      <w:rFonts w:ascii="Cambria Math" w:hAnsi="Cambria Math"/>
                      <w:b w:val="0"/>
                      <w:bCs/>
                      <w:i/>
                      <w:sz w:val="20"/>
                      <w:szCs w:val="16"/>
                    </w:rPr>
                  </m:ctrlPr>
                </m:sSubPr>
                <m:e>
                  <m:r>
                    <m:rPr>
                      <m:sty m:val="bi"/>
                    </m:rPr>
                    <w:rPr>
                      <w:rFonts w:ascii="Cambria Math" w:hAnsi="Cambria Math"/>
                      <w:sz w:val="20"/>
                      <w:szCs w:val="16"/>
                    </w:rPr>
                    <m:t>Q</m:t>
                  </m:r>
                </m:e>
                <m:sub>
                  <m:r>
                    <m:rPr>
                      <m:sty m:val="bi"/>
                    </m:rPr>
                    <w:rPr>
                      <w:rFonts w:ascii="Cambria Math" w:hAnsi="Cambria Math"/>
                      <w:sz w:val="20"/>
                      <w:szCs w:val="16"/>
                    </w:rPr>
                    <m:t>lost</m:t>
                  </m:r>
                </m:sub>
              </m:sSub>
            </m:oMath>
            <w:r w:rsidR="00195D8F" w:rsidRPr="00F07328">
              <w:rPr>
                <w:b w:val="0"/>
                <w:bCs/>
                <w:sz w:val="16"/>
                <w:szCs w:val="16"/>
              </w:rPr>
              <w:t xml:space="preserve"> </w:t>
            </w:r>
            <w:r w:rsidR="00195D8F" w:rsidRPr="00E85778">
              <w:rPr>
                <w:b w:val="0"/>
                <w:bCs/>
                <w:sz w:val="20"/>
              </w:rPr>
              <w:t>is the quantity of hydrogen that was</w:t>
            </w:r>
            <w:r w:rsidR="00C91414">
              <w:rPr>
                <w:b w:val="0"/>
                <w:bCs/>
                <w:sz w:val="20"/>
              </w:rPr>
              <w:t xml:space="preserve"> lost between the production and delivery gate</w:t>
            </w:r>
            <w:r w:rsidR="00A17AD5">
              <w:rPr>
                <w:b w:val="0"/>
                <w:bCs/>
                <w:sz w:val="20"/>
              </w:rPr>
              <w:t>.</w:t>
            </w:r>
            <w:r w:rsidR="002128AD">
              <w:rPr>
                <w:b w:val="0"/>
                <w:bCs/>
                <w:sz w:val="20"/>
              </w:rPr>
              <w:t xml:space="preserve"> </w:t>
            </w:r>
            <m:oMath>
              <m:sSub>
                <m:sSubPr>
                  <m:ctrlPr>
                    <w:rPr>
                      <w:rFonts w:ascii="Cambria Math" w:hAnsi="Cambria Math"/>
                      <w:b w:val="0"/>
                      <w:bCs/>
                      <w:i/>
                      <w:sz w:val="20"/>
                      <w:szCs w:val="16"/>
                    </w:rPr>
                  </m:ctrlPr>
                </m:sSubPr>
                <m:e>
                  <m:r>
                    <m:rPr>
                      <m:sty m:val="bi"/>
                    </m:rPr>
                    <w:rPr>
                      <w:rFonts w:ascii="Cambria Math" w:hAnsi="Cambria Math"/>
                      <w:sz w:val="20"/>
                      <w:szCs w:val="16"/>
                    </w:rPr>
                    <m:t>Q</m:t>
                  </m:r>
                </m:e>
                <m:sub>
                  <m:r>
                    <m:rPr>
                      <m:sty m:val="bi"/>
                    </m:rPr>
                    <w:rPr>
                      <w:rFonts w:ascii="Cambria Math" w:hAnsi="Cambria Math"/>
                      <w:sz w:val="20"/>
                      <w:szCs w:val="16"/>
                    </w:rPr>
                    <m:t>delivered</m:t>
                  </m:r>
                </m:sub>
              </m:sSub>
            </m:oMath>
            <w:r w:rsidR="00195D8F" w:rsidRPr="00E85778">
              <w:rPr>
                <w:b w:val="0"/>
                <w:bCs/>
                <w:sz w:val="20"/>
              </w:rPr>
              <w:t xml:space="preserve"> is the quantity of hydrogen that was recorded at the</w:t>
            </w:r>
            <w:r w:rsidR="002128AD">
              <w:rPr>
                <w:b w:val="0"/>
                <w:bCs/>
                <w:sz w:val="20"/>
              </w:rPr>
              <w:t xml:space="preserve"> delivery gate</w:t>
            </w:r>
            <w:r w:rsidR="00195D8F" w:rsidRPr="00E85778">
              <w:rPr>
                <w:b w:val="0"/>
                <w:bCs/>
                <w:sz w:val="20"/>
              </w:rPr>
              <w:t>.</w:t>
            </w:r>
            <w:r w:rsidR="002128AD">
              <w:rPr>
                <w:b w:val="0"/>
                <w:bCs/>
                <w:sz w:val="20"/>
              </w:rPr>
              <w:t xml:space="preserve"> </w:t>
            </w:r>
            <m:oMath>
              <m:r>
                <m:rPr>
                  <m:sty m:val="bi"/>
                </m:rPr>
                <w:rPr>
                  <w:rFonts w:ascii="Cambria Math" w:hAnsi="Cambria Math"/>
                  <w:sz w:val="20"/>
                  <w:szCs w:val="16"/>
                </w:rPr>
                <m:t>E</m:t>
              </m:r>
              <m:sSub>
                <m:sSubPr>
                  <m:ctrlPr>
                    <w:rPr>
                      <w:rFonts w:ascii="Cambria Math" w:hAnsi="Cambria Math"/>
                      <w:b w:val="0"/>
                      <w:bCs/>
                      <w:i/>
                      <w:sz w:val="20"/>
                      <w:szCs w:val="16"/>
                    </w:rPr>
                  </m:ctrlPr>
                </m:sSubPr>
                <m:e>
                  <m:r>
                    <m:rPr>
                      <m:sty m:val="bi"/>
                    </m:rPr>
                    <w:rPr>
                      <w:rFonts w:ascii="Cambria Math" w:hAnsi="Cambria Math"/>
                      <w:sz w:val="20"/>
                      <w:szCs w:val="16"/>
                    </w:rPr>
                    <m:t>I</m:t>
                  </m:r>
                  <m:ctrlPr>
                    <w:rPr>
                      <w:rFonts w:ascii="Cambria Math" w:hAnsi="Cambria Math"/>
                      <w:bCs/>
                      <w:i/>
                      <w:sz w:val="20"/>
                      <w:szCs w:val="16"/>
                    </w:rPr>
                  </m:ctrlPr>
                </m:e>
                <m:sub>
                  <m:r>
                    <m:rPr>
                      <m:sty m:val="bi"/>
                    </m:rPr>
                    <w:rPr>
                      <w:rFonts w:ascii="Cambria Math" w:hAnsi="Cambria Math"/>
                      <w:sz w:val="20"/>
                      <w:szCs w:val="16"/>
                    </w:rPr>
                    <m:t>production</m:t>
                  </m:r>
                </m:sub>
              </m:sSub>
            </m:oMath>
            <w:r w:rsidR="00195D8F">
              <w:rPr>
                <w:b w:val="0"/>
                <w:bCs/>
                <w:sz w:val="20"/>
                <w:szCs w:val="16"/>
              </w:rPr>
              <w:t xml:space="preserve"> is the emissions intensity from the </w:t>
            </w:r>
            <w:r w:rsidR="00080AC2">
              <w:rPr>
                <w:b w:val="0"/>
                <w:bCs/>
                <w:sz w:val="20"/>
                <w:szCs w:val="16"/>
              </w:rPr>
              <w:t>production boundary</w:t>
            </w:r>
            <w:r w:rsidR="00195D8F">
              <w:rPr>
                <w:b w:val="0"/>
                <w:bCs/>
                <w:sz w:val="20"/>
                <w:szCs w:val="16"/>
              </w:rPr>
              <w:t>.</w:t>
            </w:r>
          </w:p>
          <w:p w14:paraId="298089CA" w14:textId="77777777" w:rsidR="00195D8F" w:rsidRDefault="00195D8F" w:rsidP="00C923F0">
            <w:pPr>
              <w:spacing w:before="0" w:beforeAutospacing="0" w:after="160"/>
              <w:rPr>
                <w:bCs/>
              </w:rPr>
            </w:pPr>
            <w:r>
              <w:rPr>
                <w:b w:val="0"/>
                <w:bCs/>
                <w:sz w:val="20"/>
              </w:rPr>
              <w:t>Substituting the example values into this equation produces the following result:</w:t>
            </w:r>
          </w:p>
          <w:p w14:paraId="4332C3DA" w14:textId="2674CB0A" w:rsidR="00195D8F" w:rsidRPr="00EC6788" w:rsidRDefault="00015FB3" w:rsidP="00C923F0">
            <w:pPr>
              <w:spacing w:before="0" w:beforeAutospacing="0" w:after="160"/>
              <w:rPr>
                <w:bCs/>
                <w:sz w:val="20"/>
                <w:szCs w:val="16"/>
              </w:rPr>
            </w:pPr>
            <m:oMathPara>
              <m:oMath>
                <m:r>
                  <m:rPr>
                    <m:sty m:val="bi"/>
                  </m:rPr>
                  <w:rPr>
                    <w:rFonts w:ascii="Cambria Math" w:hAnsi="Cambria Math"/>
                    <w:sz w:val="20"/>
                  </w:rPr>
                  <m:t>0.07=</m:t>
                </m:r>
                <m:f>
                  <m:fPr>
                    <m:ctrlPr>
                      <w:rPr>
                        <w:rFonts w:ascii="Cambria Math" w:hAnsi="Cambria Math"/>
                        <w:i/>
                        <w:sz w:val="20"/>
                      </w:rPr>
                    </m:ctrlPr>
                  </m:fPr>
                  <m:num>
                    <m:r>
                      <m:rPr>
                        <m:sty m:val="bi"/>
                      </m:rPr>
                      <w:rPr>
                        <w:rFonts w:ascii="Cambria Math" w:hAnsi="Cambria Math"/>
                        <w:sz w:val="20"/>
                      </w:rPr>
                      <m:t>20</m:t>
                    </m:r>
                  </m:num>
                  <m:den>
                    <m:r>
                      <m:rPr>
                        <m:sty m:val="bi"/>
                      </m:rPr>
                      <w:rPr>
                        <w:rFonts w:ascii="Cambria Math" w:hAnsi="Cambria Math"/>
                        <w:sz w:val="20"/>
                      </w:rPr>
                      <m:t>1480</m:t>
                    </m:r>
                  </m:den>
                </m:f>
                <m:r>
                  <m:rPr>
                    <m:sty m:val="bi"/>
                  </m:rPr>
                  <w:rPr>
                    <w:rFonts w:ascii="Cambria Math" w:hAnsi="Cambria Math"/>
                    <w:sz w:val="20"/>
                  </w:rPr>
                  <m:t>×5.33</m:t>
                </m:r>
              </m:oMath>
            </m:oMathPara>
          </w:p>
          <w:p w14:paraId="0D906840" w14:textId="464AB5D6" w:rsidR="00195D8F" w:rsidRPr="00E75E15" w:rsidRDefault="00195D8F" w:rsidP="00C923F0">
            <w:pPr>
              <w:spacing w:before="0" w:beforeAutospacing="0" w:after="160"/>
              <w:rPr>
                <w:bCs/>
              </w:rPr>
            </w:pPr>
            <w:r>
              <w:rPr>
                <w:b w:val="0"/>
                <w:bCs/>
                <w:sz w:val="20"/>
              </w:rPr>
              <w:t>The loss correction term is therefore 0.</w:t>
            </w:r>
            <w:r w:rsidR="00B246AC">
              <w:rPr>
                <w:b w:val="0"/>
                <w:bCs/>
                <w:sz w:val="20"/>
              </w:rPr>
              <w:t xml:space="preserve">07 </w:t>
            </w:r>
            <w:r>
              <w:rPr>
                <w:b w:val="0"/>
                <w:bCs/>
                <w:sz w:val="20"/>
              </w:rPr>
              <w:t>kg CO</w:t>
            </w:r>
            <w:r w:rsidRPr="00F478DC">
              <w:rPr>
                <w:sz w:val="20"/>
                <w:vertAlign w:val="subscript"/>
              </w:rPr>
              <w:t>2</w:t>
            </w:r>
            <w:r>
              <w:rPr>
                <w:b w:val="0"/>
                <w:bCs/>
                <w:sz w:val="20"/>
              </w:rPr>
              <w:t>-e</w:t>
            </w:r>
            <w:r w:rsidR="000C598B">
              <w:rPr>
                <w:b w:val="0"/>
                <w:bCs/>
                <w:sz w:val="20"/>
              </w:rPr>
              <w:t>/kg H</w:t>
            </w:r>
            <w:r w:rsidR="000C598B" w:rsidRPr="00F478DC">
              <w:rPr>
                <w:sz w:val="20"/>
                <w:vertAlign w:val="subscript"/>
              </w:rPr>
              <w:t>2</w:t>
            </w:r>
            <w:r w:rsidR="005D71BE">
              <w:rPr>
                <w:sz w:val="20"/>
              </w:rPr>
              <w:t xml:space="preserve"> </w:t>
            </w:r>
            <w:r w:rsidR="005D71BE" w:rsidRPr="005D71BE">
              <w:rPr>
                <w:b w:val="0"/>
                <w:bCs/>
                <w:sz w:val="20"/>
              </w:rPr>
              <w:t>delivered</w:t>
            </w:r>
            <w:r>
              <w:rPr>
                <w:b w:val="0"/>
                <w:bCs/>
                <w:sz w:val="20"/>
              </w:rPr>
              <w:t>.</w:t>
            </w:r>
          </w:p>
        </w:tc>
      </w:tr>
      <w:bookmarkEnd w:id="130"/>
      <w:bookmarkEnd w:id="131"/>
    </w:tbl>
    <w:p w14:paraId="56E6E228" w14:textId="0FB7BF2A" w:rsidR="004764A9" w:rsidRPr="00621A7C" w:rsidRDefault="004764A9" w:rsidP="00621A7C">
      <w:pPr>
        <w:pStyle w:val="Heading1"/>
        <w:numPr>
          <w:ilvl w:val="0"/>
          <w:numId w:val="0"/>
        </w:numPr>
        <w:rPr>
          <w:rFonts w:asciiTheme="minorHAnsi" w:hAnsiTheme="minorHAnsi" w:cstheme="minorHAnsi"/>
          <w:sz w:val="24"/>
          <w:szCs w:val="24"/>
        </w:rPr>
      </w:pPr>
      <w:r w:rsidRPr="00621A7C">
        <w:rPr>
          <w:rFonts w:asciiTheme="minorHAnsi" w:hAnsiTheme="minorHAnsi" w:cstheme="minorHAnsi"/>
          <w:sz w:val="24"/>
          <w:szCs w:val="24"/>
        </w:rPr>
        <w:br w:type="page"/>
      </w:r>
    </w:p>
    <w:p w14:paraId="3A5D5C83" w14:textId="763D4A3D" w:rsidR="004B537B" w:rsidRDefault="00D32C6B" w:rsidP="004B537B">
      <w:pPr>
        <w:pStyle w:val="Heading1"/>
      </w:pPr>
      <w:bookmarkStart w:id="139" w:name="_Ref140523115"/>
      <w:bookmarkStart w:id="140" w:name="_Toc146029795"/>
      <w:r>
        <w:t>Estimating emissions</w:t>
      </w:r>
      <w:bookmarkEnd w:id="139"/>
      <w:bookmarkEnd w:id="140"/>
    </w:p>
    <w:tbl>
      <w:tblPr>
        <w:tblStyle w:val="TableGrid"/>
        <w:tblpPr w:leftFromText="180" w:rightFromText="180" w:vertAnchor="text" w:horzAnchor="margin" w:tblpY="-46"/>
        <w:tblW w:w="0" w:type="auto"/>
        <w:tblLook w:val="04A0" w:firstRow="1" w:lastRow="0" w:firstColumn="1" w:lastColumn="0" w:noHBand="0" w:noVBand="1"/>
      </w:tblPr>
      <w:tblGrid>
        <w:gridCol w:w="9006"/>
      </w:tblGrid>
      <w:tr w:rsidR="004B54AC" w14:paraId="67BB4292" w14:textId="77777777" w:rsidTr="00BC75B1">
        <w:trPr>
          <w:trHeight w:val="1417"/>
        </w:trPr>
        <w:tc>
          <w:tcPr>
            <w:tcW w:w="9006" w:type="dxa"/>
            <w:shd w:val="clear" w:color="auto" w:fill="D9D9D9" w:themeFill="background1" w:themeFillShade="D9"/>
          </w:tcPr>
          <w:p w14:paraId="656F74F9" w14:textId="77777777" w:rsidR="004B54AC" w:rsidRPr="00F604EC" w:rsidRDefault="004B54AC" w:rsidP="00BC75B1">
            <w:pPr>
              <w:spacing w:before="120"/>
              <w:rPr>
                <w:b/>
                <w:bCs/>
              </w:rPr>
            </w:pPr>
            <w:r>
              <w:rPr>
                <w:b/>
                <w:bCs/>
              </w:rPr>
              <w:t>Feedback sought:</w:t>
            </w:r>
          </w:p>
          <w:p w14:paraId="75448A5C" w14:textId="77777777" w:rsidR="00D16024" w:rsidRDefault="004B54AC" w:rsidP="00BC75B1">
            <w:pPr>
              <w:spacing w:before="120" w:after="120"/>
            </w:pPr>
            <w:r>
              <w:t xml:space="preserve">The Department is seeking feedback on </w:t>
            </w:r>
            <w:r w:rsidR="00391C3E">
              <w:t>the proposed methods for estimating emissions and whether any additional methods should be</w:t>
            </w:r>
            <w:r w:rsidR="007630E1">
              <w:t xml:space="preserve"> considered</w:t>
            </w:r>
            <w:r w:rsidR="00391C3E">
              <w:t>.</w:t>
            </w:r>
            <w:r w:rsidR="00E26EE2">
              <w:t xml:space="preserve"> </w:t>
            </w:r>
          </w:p>
          <w:p w14:paraId="0E26208C" w14:textId="0528B6AA" w:rsidR="004B54AC" w:rsidRDefault="00E26EE2" w:rsidP="00BC75B1">
            <w:pPr>
              <w:spacing w:before="120" w:after="120"/>
            </w:pPr>
            <w:r>
              <w:t xml:space="preserve">The Department is also seeking feedback on </w:t>
            </w:r>
            <w:r w:rsidR="0067759B">
              <w:t>how practical it will be to report each input and output for every creation claim</w:t>
            </w:r>
            <w:r w:rsidR="00F6026E">
              <w:t>, and whether some inputs or outputs should be estimated in reporting profiles up front</w:t>
            </w:r>
            <w:r w:rsidR="0067759B">
              <w:t xml:space="preserve">. </w:t>
            </w:r>
          </w:p>
        </w:tc>
      </w:tr>
    </w:tbl>
    <w:p w14:paraId="255C26B9" w14:textId="152289A5" w:rsidR="007D406B" w:rsidRDefault="06AB2656" w:rsidP="00AF41E2">
      <w:pPr>
        <w:spacing w:before="120"/>
      </w:pPr>
      <w:r>
        <w:t xml:space="preserve">The </w:t>
      </w:r>
      <w:r w:rsidR="002F4F11">
        <w:t xml:space="preserve">approach to estimating </w:t>
      </w:r>
      <w:r>
        <w:t xml:space="preserve">emissions for the GO scheme is conceptually based on the approaches that are currently used in </w:t>
      </w:r>
      <w:r w:rsidR="10591289">
        <w:t xml:space="preserve">the </w:t>
      </w:r>
      <w:r>
        <w:t>NGER</w:t>
      </w:r>
      <w:r w:rsidR="4C97E135">
        <w:t xml:space="preserve"> Scheme</w:t>
      </w:r>
      <w:r>
        <w:t xml:space="preserve">. </w:t>
      </w:r>
      <w:r w:rsidR="002F4F11">
        <w:t>However, t</w:t>
      </w:r>
      <w:r w:rsidR="007D406B">
        <w:t>he</w:t>
      </w:r>
      <w:r w:rsidR="59145298">
        <w:t xml:space="preserve"> scope of the GO scheme requires that these approaches be amended to reflect the </w:t>
      </w:r>
      <w:r w:rsidR="59145298" w:rsidRPr="003638B7">
        <w:t>system boundary</w:t>
      </w:r>
      <w:r w:rsidR="59145298">
        <w:t xml:space="preserve"> of the GO scheme. There are two overarching components to the methodology for the GO scheme</w:t>
      </w:r>
      <w:r w:rsidR="00BF40AE">
        <w:t>.</w:t>
      </w:r>
      <w:r w:rsidR="002B4D38">
        <w:t xml:space="preserve"> </w:t>
      </w:r>
      <w:r w:rsidR="00BF40AE">
        <w:t>T</w:t>
      </w:r>
      <w:r w:rsidR="59145298">
        <w:t>hese are the:</w:t>
      </w:r>
    </w:p>
    <w:p w14:paraId="15ECE454" w14:textId="7AEE65BC" w:rsidR="007D406B" w:rsidRDefault="00080AC2" w:rsidP="007D406B">
      <w:pPr>
        <w:pStyle w:val="ListParagraph"/>
        <w:numPr>
          <w:ilvl w:val="0"/>
          <w:numId w:val="5"/>
        </w:numPr>
      </w:pPr>
      <w:r>
        <w:t>Production boundary</w:t>
      </w:r>
      <w:r w:rsidR="007D406B">
        <w:t xml:space="preserve"> methodologies, covering</w:t>
      </w:r>
      <w:r w:rsidR="00054B3B">
        <w:t>:</w:t>
      </w:r>
    </w:p>
    <w:p w14:paraId="1EB0D711" w14:textId="77777777" w:rsidR="0098234A" w:rsidRDefault="001B7B8C" w:rsidP="007D406B">
      <w:pPr>
        <w:pStyle w:val="ListParagraph"/>
        <w:numPr>
          <w:ilvl w:val="1"/>
          <w:numId w:val="5"/>
        </w:numPr>
      </w:pPr>
      <w:r>
        <w:t>Upstream</w:t>
      </w:r>
      <w:r w:rsidR="0098234A">
        <w:t xml:space="preserve"> emissions,</w:t>
      </w:r>
    </w:p>
    <w:p w14:paraId="7D1F9F81" w14:textId="44E57A9C" w:rsidR="0098234A" w:rsidRDefault="0098234A" w:rsidP="007D406B">
      <w:pPr>
        <w:pStyle w:val="ListParagraph"/>
        <w:numPr>
          <w:ilvl w:val="1"/>
          <w:numId w:val="5"/>
        </w:numPr>
      </w:pPr>
      <w:r>
        <w:t>Direct emissions</w:t>
      </w:r>
      <w:r w:rsidR="0066067B">
        <w:t xml:space="preserve">, including </w:t>
      </w:r>
      <w:r w:rsidR="00D17159">
        <w:t xml:space="preserve">emissions from </w:t>
      </w:r>
      <w:r w:rsidR="0066067B">
        <w:t>combustion</w:t>
      </w:r>
      <w:r w:rsidR="00614EE6">
        <w:t xml:space="preserve"> and accrued emissions</w:t>
      </w:r>
      <w:r>
        <w:t>,</w:t>
      </w:r>
    </w:p>
    <w:p w14:paraId="726ACD3A" w14:textId="77777777" w:rsidR="007E6C38" w:rsidRDefault="007E6C38" w:rsidP="007D406B">
      <w:pPr>
        <w:pStyle w:val="ListParagraph"/>
        <w:numPr>
          <w:ilvl w:val="1"/>
          <w:numId w:val="5"/>
        </w:numPr>
      </w:pPr>
      <w:r>
        <w:t>Electricity emissions,</w:t>
      </w:r>
    </w:p>
    <w:p w14:paraId="554DBA63" w14:textId="30A408C9" w:rsidR="00D858E8" w:rsidRDefault="00D858E8" w:rsidP="007D406B">
      <w:pPr>
        <w:pStyle w:val="ListParagraph"/>
        <w:numPr>
          <w:ilvl w:val="1"/>
          <w:numId w:val="5"/>
        </w:numPr>
      </w:pPr>
      <w:r>
        <w:t>Carbon capture and storage</w:t>
      </w:r>
      <w:r w:rsidR="59145298">
        <w:t>,</w:t>
      </w:r>
    </w:p>
    <w:p w14:paraId="21A2B2D3" w14:textId="77777777" w:rsidR="007D406B" w:rsidRDefault="007D406B" w:rsidP="007D406B">
      <w:pPr>
        <w:pStyle w:val="ListParagraph"/>
        <w:numPr>
          <w:ilvl w:val="1"/>
          <w:numId w:val="5"/>
        </w:numPr>
      </w:pPr>
      <w:r>
        <w:t>Co-product deductions.</w:t>
      </w:r>
    </w:p>
    <w:p w14:paraId="4B9B926C" w14:textId="1C91D3E8" w:rsidR="007D406B" w:rsidRDefault="007D406B" w:rsidP="007D406B">
      <w:pPr>
        <w:pStyle w:val="ListParagraph"/>
        <w:numPr>
          <w:ilvl w:val="0"/>
          <w:numId w:val="5"/>
        </w:numPr>
      </w:pPr>
      <w:r>
        <w:t>Post-production boundary methodologies, covering</w:t>
      </w:r>
      <w:r w:rsidR="00054B3B">
        <w:t>:</w:t>
      </w:r>
    </w:p>
    <w:p w14:paraId="62490563" w14:textId="77777777" w:rsidR="00481560" w:rsidRDefault="00481560" w:rsidP="007D406B">
      <w:pPr>
        <w:pStyle w:val="ListParagraph"/>
        <w:numPr>
          <w:ilvl w:val="1"/>
          <w:numId w:val="5"/>
        </w:numPr>
      </w:pPr>
      <w:r>
        <w:t>Transport emissions,</w:t>
      </w:r>
    </w:p>
    <w:p w14:paraId="143C0F77" w14:textId="77777777" w:rsidR="00481560" w:rsidRDefault="00481560" w:rsidP="007D406B">
      <w:pPr>
        <w:pStyle w:val="ListParagraph"/>
        <w:numPr>
          <w:ilvl w:val="1"/>
          <w:numId w:val="5"/>
        </w:numPr>
      </w:pPr>
      <w:r>
        <w:t>Storage emissions</w:t>
      </w:r>
      <w:r w:rsidR="00BA4B8C">
        <w:t>,</w:t>
      </w:r>
    </w:p>
    <w:p w14:paraId="70B183C8" w14:textId="77777777" w:rsidR="007D406B" w:rsidRDefault="00D90008" w:rsidP="007D406B">
      <w:pPr>
        <w:pStyle w:val="ListParagraph"/>
        <w:numPr>
          <w:ilvl w:val="1"/>
          <w:numId w:val="5"/>
        </w:numPr>
      </w:pPr>
      <w:r>
        <w:t>Loss corrections</w:t>
      </w:r>
      <w:r w:rsidR="00BA4B8C">
        <w:t>.</w:t>
      </w:r>
    </w:p>
    <w:p w14:paraId="501C84BB" w14:textId="6C3CEB54" w:rsidR="001C7289" w:rsidRDefault="003A267F" w:rsidP="007D406B">
      <w:r>
        <w:t xml:space="preserve">Following </w:t>
      </w:r>
      <w:r w:rsidR="00A27093">
        <w:t xml:space="preserve">sections provide a transparent explanation of how emissions are proposed to be accounted in the GO scheme, which </w:t>
      </w:r>
      <w:r w:rsidR="00357F4E">
        <w:t>are</w:t>
      </w:r>
      <w:r w:rsidR="00A27093">
        <w:t xml:space="preserve"> practically demonstrated through the GO </w:t>
      </w:r>
      <w:r w:rsidR="009B365A">
        <w:t>C</w:t>
      </w:r>
      <w:r w:rsidR="00A27093">
        <w:t>alculator</w:t>
      </w:r>
      <w:r w:rsidR="009B365A" w:rsidRPr="009B365A">
        <w:t xml:space="preserve"> </w:t>
      </w:r>
      <w:r w:rsidR="009B365A">
        <w:t>accompanying this attachment</w:t>
      </w:r>
      <w:r w:rsidR="00A27093">
        <w:t xml:space="preserve">. </w:t>
      </w:r>
      <w:r w:rsidR="00932FB5">
        <w:t>Th</w:t>
      </w:r>
      <w:r w:rsidR="00DD2E24">
        <w:t>e purpose of th</w:t>
      </w:r>
      <w:r w:rsidR="00932FB5">
        <w:t xml:space="preserve">is Calculator is </w:t>
      </w:r>
      <w:r w:rsidR="00E24658">
        <w:t>to demonstrate the methodology to</w:t>
      </w:r>
      <w:r w:rsidR="00930AF0">
        <w:t xml:space="preserve"> </w:t>
      </w:r>
      <w:r w:rsidR="00122140">
        <w:t xml:space="preserve">interested stakeholders </w:t>
      </w:r>
      <w:r w:rsidR="00DD2E24">
        <w:t>during the consultation period</w:t>
      </w:r>
      <w:r w:rsidR="00E46F8B">
        <w:t xml:space="preserve">. </w:t>
      </w:r>
    </w:p>
    <w:p w14:paraId="328BF942" w14:textId="220FA7E4" w:rsidR="00263478" w:rsidRDefault="00B61578" w:rsidP="003C6D6E">
      <w:r>
        <w:t>S</w:t>
      </w:r>
      <w:r w:rsidR="001C7289">
        <w:t xml:space="preserve">cheme participants will be required to define the variables that are used </w:t>
      </w:r>
      <w:r>
        <w:t xml:space="preserve">in these calculations. </w:t>
      </w:r>
      <w:r w:rsidR="00F93DBA">
        <w:t>Most</w:t>
      </w:r>
      <w:r w:rsidR="00A63795">
        <w:t xml:space="preserve"> of these variables will be static and set through the profile registration process, this includes but is not limited to emissions factors and modelled values. </w:t>
      </w:r>
      <w:r w:rsidR="00864BDE">
        <w:t>S</w:t>
      </w:r>
      <w:r w:rsidR="00A63795">
        <w:t xml:space="preserve">ome variables will be dynamic </w:t>
      </w:r>
      <w:r w:rsidR="00864BDE">
        <w:t xml:space="preserve">batch information that </w:t>
      </w:r>
      <w:r w:rsidR="00EC0F76">
        <w:t>need</w:t>
      </w:r>
      <w:r w:rsidR="00864BDE">
        <w:t>s</w:t>
      </w:r>
      <w:r w:rsidR="00EC0F76">
        <w:t xml:space="preserve"> to be reported as </w:t>
      </w:r>
      <w:r w:rsidR="00864BDE">
        <w:t>part of the certificate claim process</w:t>
      </w:r>
      <w:r w:rsidR="00526C89">
        <w:t>.</w:t>
      </w:r>
      <w:r w:rsidR="00F02812">
        <w:t xml:space="preserve"> </w:t>
      </w:r>
      <w:r w:rsidR="00526C89">
        <w:t xml:space="preserve">This </w:t>
      </w:r>
      <w:r w:rsidR="00864BDE">
        <w:t xml:space="preserve">includes </w:t>
      </w:r>
      <w:r w:rsidR="00D362D4">
        <w:t xml:space="preserve">certain </w:t>
      </w:r>
      <w:r w:rsidR="00864BDE">
        <w:t>quantities of inputs.</w:t>
      </w:r>
    </w:p>
    <w:p w14:paraId="0E040C6B" w14:textId="6AF4E5B1" w:rsidR="00627959" w:rsidRPr="003B5FA3" w:rsidRDefault="00627959" w:rsidP="00E07A46">
      <w:pPr>
        <w:pStyle w:val="Calloutbox"/>
        <w:keepNext/>
        <w:contextualSpacing w:val="0"/>
        <w:rPr>
          <w:b/>
          <w:bCs/>
        </w:rPr>
      </w:pPr>
      <w:r>
        <w:rPr>
          <w:b/>
          <w:bCs/>
        </w:rPr>
        <w:t>GO Calculator user guide – “Production Summary” tab</w:t>
      </w:r>
    </w:p>
    <w:p w14:paraId="0A3E58C6" w14:textId="2AD2A636" w:rsidR="00E77678" w:rsidRDefault="00695FDD" w:rsidP="00521824">
      <w:pPr>
        <w:pStyle w:val="Calloutbox"/>
        <w:spacing w:after="120" w:line="276" w:lineRule="auto"/>
        <w:contextualSpacing w:val="0"/>
      </w:pPr>
      <w:r>
        <w:t xml:space="preserve">The </w:t>
      </w:r>
      <w:r w:rsidR="008C197E">
        <w:t xml:space="preserve">“Production Summary” tab </w:t>
      </w:r>
      <w:r w:rsidR="0007043A">
        <w:t>displays the</w:t>
      </w:r>
      <w:r w:rsidR="00E77678">
        <w:t xml:space="preserve"> total</w:t>
      </w:r>
      <w:r w:rsidR="0007043A">
        <w:t xml:space="preserve"> estimated emissions and other relevant information which are calculated based on the inputs provided </w:t>
      </w:r>
      <w:r w:rsidR="000A391A">
        <w:t xml:space="preserve">throughout the </w:t>
      </w:r>
      <w:r w:rsidR="00521824">
        <w:t>“Electricity Usage”, “Electrolysis”, “Natural Gas Reforming”</w:t>
      </w:r>
      <w:r w:rsidR="00D04609">
        <w:t xml:space="preserve">, </w:t>
      </w:r>
      <w:r w:rsidR="00521824">
        <w:t>“Coal Gasification”</w:t>
      </w:r>
      <w:r w:rsidR="00D04609">
        <w:t>, and “Transport &amp; Storage</w:t>
      </w:r>
      <w:r w:rsidR="006E1810">
        <w:t xml:space="preserve"> - Hydrogen</w:t>
      </w:r>
      <w:r w:rsidR="00D04609">
        <w:t xml:space="preserve">” </w:t>
      </w:r>
      <w:r w:rsidR="00521824">
        <w:t xml:space="preserve">tabs of the GO Calculator. </w:t>
      </w:r>
    </w:p>
    <w:p w14:paraId="4C5D14AD" w14:textId="7D32C284" w:rsidR="00627959" w:rsidRDefault="00E77678" w:rsidP="00521824">
      <w:pPr>
        <w:pStyle w:val="Calloutbox"/>
        <w:spacing w:after="120" w:line="276" w:lineRule="auto"/>
        <w:contextualSpacing w:val="0"/>
      </w:pPr>
      <w:r>
        <w:t>The</w:t>
      </w:r>
      <w:r w:rsidR="00A34DA2">
        <w:t xml:space="preserve"> summary values add up </w:t>
      </w:r>
      <w:r w:rsidR="00841230">
        <w:t xml:space="preserve">the various individual emissions estimates which are calculated in accordance with the </w:t>
      </w:r>
      <w:r w:rsidR="008D2138">
        <w:t xml:space="preserve">following </w:t>
      </w:r>
      <w:r w:rsidR="00841230">
        <w:t xml:space="preserve">sections. </w:t>
      </w:r>
    </w:p>
    <w:p w14:paraId="643A32CF" w14:textId="77777777" w:rsidR="007859D1" w:rsidRDefault="007859D1" w:rsidP="003C6D6E"/>
    <w:p w14:paraId="398C47D3" w14:textId="77777777" w:rsidR="006F70EA" w:rsidRDefault="006F70EA">
      <w:r>
        <w:br w:type="page"/>
      </w:r>
    </w:p>
    <w:p w14:paraId="6909134C" w14:textId="4A6A8585" w:rsidR="00A51827" w:rsidRDefault="00080AC2" w:rsidP="00BB357C">
      <w:pPr>
        <w:pStyle w:val="Heading2"/>
        <w:spacing w:before="360"/>
      </w:pPr>
      <w:bookmarkStart w:id="141" w:name="_Ref140523349"/>
      <w:bookmarkStart w:id="142" w:name="_Toc146029796"/>
      <w:r>
        <w:t>Production boundary</w:t>
      </w:r>
      <w:r w:rsidR="006024F3">
        <w:t xml:space="preserve"> emissions</w:t>
      </w:r>
      <w:bookmarkEnd w:id="141"/>
      <w:bookmarkEnd w:id="142"/>
    </w:p>
    <w:p w14:paraId="562DCE06" w14:textId="6C940C18" w:rsidR="00E07DB0" w:rsidRPr="00E07DB0" w:rsidRDefault="0053035B" w:rsidP="00E07DB0">
      <w:r>
        <w:t xml:space="preserve">The </w:t>
      </w:r>
      <w:r w:rsidR="00080AC2">
        <w:t>production boundary</w:t>
      </w:r>
      <w:r w:rsidR="006024F3">
        <w:t xml:space="preserve"> is defined above </w:t>
      </w:r>
      <w:r w:rsidR="001639DB">
        <w:t xml:space="preserve">and broadly covers emissions within the </w:t>
      </w:r>
      <w:r w:rsidR="005C6BC4">
        <w:t>well</w:t>
      </w:r>
      <w:r w:rsidR="001639DB">
        <w:t>-to-</w:t>
      </w:r>
      <w:r w:rsidR="005C6BC4">
        <w:t xml:space="preserve">production </w:t>
      </w:r>
      <w:r w:rsidR="001639DB">
        <w:t xml:space="preserve">gate </w:t>
      </w:r>
      <w:r w:rsidR="00BB2CE0">
        <w:t>portion of the system boundary. The guidance</w:t>
      </w:r>
      <w:r w:rsidR="008D6D28">
        <w:t xml:space="preserve"> below </w:t>
      </w:r>
      <w:r w:rsidR="00FF65BE">
        <w:t>proposes</w:t>
      </w:r>
      <w:r w:rsidR="008D6D28">
        <w:t xml:space="preserve"> approaches for </w:t>
      </w:r>
      <w:r w:rsidR="001B7B8C">
        <w:t>upstream</w:t>
      </w:r>
      <w:r w:rsidR="0077262F">
        <w:t xml:space="preserve"> </w:t>
      </w:r>
      <w:r w:rsidR="008D6D28">
        <w:t>emissions</w:t>
      </w:r>
      <w:r w:rsidR="0077262F">
        <w:t xml:space="preserve">, </w:t>
      </w:r>
      <w:r w:rsidR="007D5E55">
        <w:t>direct</w:t>
      </w:r>
      <w:r w:rsidR="0077262F">
        <w:t xml:space="preserve"> emissions,</w:t>
      </w:r>
      <w:r w:rsidR="008D6D28">
        <w:t xml:space="preserve"> </w:t>
      </w:r>
      <w:r w:rsidR="00B702E5">
        <w:t>electricity emissions</w:t>
      </w:r>
      <w:r w:rsidR="007D5E55">
        <w:t xml:space="preserve">, </w:t>
      </w:r>
      <w:r w:rsidR="004411D3">
        <w:t>carbon capture and storage</w:t>
      </w:r>
      <w:r w:rsidR="007D5E55">
        <w:t>, and co-product deductions.</w:t>
      </w:r>
      <w:r w:rsidR="00CF012B">
        <w:t xml:space="preserve"> </w:t>
      </w:r>
      <w:r w:rsidR="008D6D28">
        <w:t xml:space="preserve">These approaches are specific to the </w:t>
      </w:r>
      <w:r w:rsidR="00080AC2">
        <w:t>production boundary</w:t>
      </w:r>
      <w:r w:rsidR="005837D3">
        <w:t xml:space="preserve"> and not </w:t>
      </w:r>
      <w:r w:rsidR="003F7A4B">
        <w:t xml:space="preserve">proposed for the emissions within the post-production boundary. </w:t>
      </w:r>
    </w:p>
    <w:p w14:paraId="078CC85A" w14:textId="5B864600" w:rsidR="0047762C" w:rsidRDefault="00D55B26" w:rsidP="00E07A46">
      <w:pPr>
        <w:pStyle w:val="Calloutbox"/>
        <w:keepNext/>
        <w:contextualSpacing w:val="0"/>
        <w:rPr>
          <w:b/>
        </w:rPr>
      </w:pPr>
      <w:r>
        <w:rPr>
          <w:b/>
          <w:bCs/>
        </w:rPr>
        <w:t>GO Calculator user guide – Production pathway tabs</w:t>
      </w:r>
    </w:p>
    <w:p w14:paraId="1EE8E2E0" w14:textId="77777777" w:rsidR="00646E68" w:rsidRDefault="00923C5E" w:rsidP="00F253D1">
      <w:pPr>
        <w:pStyle w:val="Calloutbox"/>
        <w:spacing w:after="120" w:line="276" w:lineRule="auto"/>
        <w:contextualSpacing w:val="0"/>
      </w:pPr>
      <w:r>
        <w:t xml:space="preserve">The </w:t>
      </w:r>
      <w:r w:rsidR="00646E68">
        <w:t xml:space="preserve">variables </w:t>
      </w:r>
      <w:r w:rsidR="006F410B">
        <w:t xml:space="preserve">relevant to calculating production boundary emissions can be </w:t>
      </w:r>
      <w:r w:rsidR="00646E68">
        <w:t xml:space="preserve">input in the </w:t>
      </w:r>
      <w:r w:rsidR="00A225B7">
        <w:t>“</w:t>
      </w:r>
      <w:r w:rsidR="006957B0">
        <w:t xml:space="preserve">Electricity Usage”, </w:t>
      </w:r>
      <w:r w:rsidR="00A225B7">
        <w:t xml:space="preserve">“Electrolysis”, “Natural Gas Reforming” and “Coal Gasification” tabs in the GO Calculator. </w:t>
      </w:r>
    </w:p>
    <w:p w14:paraId="1E8C0057" w14:textId="796A4161" w:rsidR="0019682E" w:rsidRPr="00B80D77" w:rsidRDefault="00646E68" w:rsidP="008A2B87">
      <w:pPr>
        <w:pStyle w:val="Calloutbox"/>
        <w:spacing w:after="120" w:line="276" w:lineRule="auto"/>
        <w:contextualSpacing w:val="0"/>
      </w:pPr>
      <w:r>
        <w:t xml:space="preserve">The relevant production pathway will determine which of the </w:t>
      </w:r>
      <w:r w:rsidR="00627F3D">
        <w:t>tabs</w:t>
      </w:r>
      <w:r>
        <w:t xml:space="preserve"> is relevant. Users can specify their production pathway </w:t>
      </w:r>
      <w:r w:rsidR="008A2B87">
        <w:t xml:space="preserve">in the “Facility Details” tab. </w:t>
      </w:r>
    </w:p>
    <w:p w14:paraId="14105D9E" w14:textId="510D0E69" w:rsidR="0013279A" w:rsidRDefault="001B7B8C" w:rsidP="00BB357C">
      <w:pPr>
        <w:pStyle w:val="Heading3"/>
        <w:spacing w:before="200"/>
      </w:pPr>
      <w:bookmarkStart w:id="143" w:name="_Upstream_emissions"/>
      <w:bookmarkStart w:id="144" w:name="_Ref132814093"/>
      <w:bookmarkEnd w:id="143"/>
      <w:r>
        <w:t>Upstream</w:t>
      </w:r>
      <w:r w:rsidR="0013279A">
        <w:t xml:space="preserve"> emissions</w:t>
      </w:r>
      <w:bookmarkEnd w:id="144"/>
    </w:p>
    <w:p w14:paraId="418E88DF" w14:textId="6671FC4C" w:rsidR="004C65F2" w:rsidRDefault="00707AC8" w:rsidP="005D07D2">
      <w:pPr>
        <w:rPr>
          <w:rFonts w:eastAsiaTheme="minorEastAsia"/>
        </w:rPr>
      </w:pPr>
      <w:r>
        <w:rPr>
          <w:rFonts w:eastAsiaTheme="minorEastAsia"/>
        </w:rPr>
        <w:t>Upstream emissions are associated with the acquisition, processing</w:t>
      </w:r>
      <w:r w:rsidR="00DB7A1E">
        <w:rPr>
          <w:rFonts w:eastAsiaTheme="minorEastAsia"/>
        </w:rPr>
        <w:t xml:space="preserve"> and </w:t>
      </w:r>
      <w:r>
        <w:rPr>
          <w:rFonts w:eastAsiaTheme="minorEastAsia"/>
        </w:rPr>
        <w:t xml:space="preserve">transport </w:t>
      </w:r>
      <w:r w:rsidR="00DB7A1E">
        <w:rPr>
          <w:rFonts w:eastAsiaTheme="minorEastAsia"/>
        </w:rPr>
        <w:t xml:space="preserve">of feedstocks. </w:t>
      </w:r>
      <w:r w:rsidR="00317CA4">
        <w:rPr>
          <w:rFonts w:eastAsiaTheme="minorEastAsia"/>
        </w:rPr>
        <w:t xml:space="preserve">This includes water, fuels, chemicals and various other </w:t>
      </w:r>
      <w:r w:rsidR="00B36241">
        <w:rPr>
          <w:rFonts w:eastAsiaTheme="minorEastAsia"/>
        </w:rPr>
        <w:t xml:space="preserve">feedstocks </w:t>
      </w:r>
      <w:r w:rsidR="00317CA4">
        <w:rPr>
          <w:rFonts w:eastAsiaTheme="minorEastAsia"/>
        </w:rPr>
        <w:t xml:space="preserve">that may have </w:t>
      </w:r>
      <w:r w:rsidR="00A3599B">
        <w:rPr>
          <w:rFonts w:eastAsiaTheme="minorEastAsia"/>
        </w:rPr>
        <w:t xml:space="preserve">upstream </w:t>
      </w:r>
      <w:r w:rsidR="00317CA4">
        <w:rPr>
          <w:rFonts w:eastAsiaTheme="minorEastAsia"/>
        </w:rPr>
        <w:t>emissions associated with them.</w:t>
      </w:r>
    </w:p>
    <w:p w14:paraId="01F6F181" w14:textId="34B96529" w:rsidR="0083725F" w:rsidRDefault="00A06CB0" w:rsidP="005D07D2">
      <w:pPr>
        <w:rPr>
          <w:rFonts w:eastAsiaTheme="minorEastAsia"/>
        </w:rPr>
      </w:pPr>
      <w:r>
        <w:rPr>
          <w:rFonts w:eastAsiaTheme="minorEastAsia"/>
        </w:rPr>
        <w:t>The initial approach proposed for the GO scheme is to multiply the relevant quantity of the feedstock by a</w:t>
      </w:r>
      <w:r w:rsidR="004C65F2">
        <w:rPr>
          <w:rFonts w:eastAsiaTheme="minorEastAsia"/>
        </w:rPr>
        <w:t>n appropriate</w:t>
      </w:r>
      <w:r>
        <w:rPr>
          <w:rFonts w:eastAsiaTheme="minorEastAsia"/>
        </w:rPr>
        <w:t xml:space="preserve"> default </w:t>
      </w:r>
      <w:r w:rsidR="00095929">
        <w:rPr>
          <w:rFonts w:eastAsiaTheme="minorEastAsia"/>
        </w:rPr>
        <w:t xml:space="preserve">emissions </w:t>
      </w:r>
      <w:r>
        <w:rPr>
          <w:rFonts w:eastAsiaTheme="minorEastAsia"/>
        </w:rPr>
        <w:t xml:space="preserve">factor </w:t>
      </w:r>
      <w:r w:rsidR="008919B8">
        <w:rPr>
          <w:rFonts w:eastAsiaTheme="minorEastAsia"/>
        </w:rPr>
        <w:t xml:space="preserve">to determine the total kilograms of carbon dioxide associated with that </w:t>
      </w:r>
      <w:r w:rsidR="00542F65">
        <w:rPr>
          <w:rFonts w:eastAsiaTheme="minorEastAsia"/>
        </w:rPr>
        <w:t>feedstock</w:t>
      </w:r>
      <w:r w:rsidR="00ED46CF">
        <w:rPr>
          <w:rFonts w:eastAsiaTheme="minorEastAsia"/>
        </w:rPr>
        <w:t>.</w:t>
      </w:r>
      <w:r w:rsidR="004C65F2">
        <w:rPr>
          <w:rFonts w:eastAsiaTheme="minorEastAsia"/>
        </w:rPr>
        <w:t xml:space="preserve"> </w:t>
      </w:r>
      <w:r w:rsidR="0083725F">
        <w:rPr>
          <w:rFonts w:eastAsiaTheme="minorEastAsia"/>
        </w:rPr>
        <w:t xml:space="preserve">Determining the relevant quantity will involve </w:t>
      </w:r>
      <w:r w:rsidR="00E57D36">
        <w:rPr>
          <w:rFonts w:eastAsiaTheme="minorEastAsia"/>
        </w:rPr>
        <w:t>removing the quantity of a feedstock associated with a non-attributable process</w:t>
      </w:r>
      <w:r w:rsidR="002526EB">
        <w:rPr>
          <w:rFonts w:eastAsiaTheme="minorEastAsia"/>
        </w:rPr>
        <w:t xml:space="preserve"> where necessary</w:t>
      </w:r>
      <w:r w:rsidR="0052310D">
        <w:rPr>
          <w:rFonts w:eastAsiaTheme="minorEastAsia"/>
        </w:rPr>
        <w:t xml:space="preserve">, see </w:t>
      </w:r>
      <w:r w:rsidR="00DF2576">
        <w:rPr>
          <w:rFonts w:eastAsiaTheme="minorEastAsia"/>
        </w:rPr>
        <w:fldChar w:fldCharType="begin"/>
      </w:r>
      <w:r w:rsidR="00DF2576">
        <w:rPr>
          <w:rFonts w:eastAsiaTheme="minorEastAsia"/>
        </w:rPr>
        <w:instrText xml:space="preserve"> REF _Ref140523528 \r \h </w:instrText>
      </w:r>
      <w:r w:rsidR="00DF2576">
        <w:rPr>
          <w:rFonts w:eastAsiaTheme="minorEastAsia"/>
        </w:rPr>
      </w:r>
      <w:r w:rsidR="00DF2576">
        <w:rPr>
          <w:rFonts w:eastAsiaTheme="minorEastAsia"/>
        </w:rPr>
        <w:fldChar w:fldCharType="separate"/>
      </w:r>
      <w:r w:rsidR="00785FEC">
        <w:rPr>
          <w:rFonts w:eastAsiaTheme="minorEastAsia"/>
        </w:rPr>
        <w:t>Section 1.1</w:t>
      </w:r>
      <w:r w:rsidR="00DF2576">
        <w:rPr>
          <w:rFonts w:eastAsiaTheme="minorEastAsia"/>
        </w:rPr>
        <w:fldChar w:fldCharType="end"/>
      </w:r>
      <w:r w:rsidR="0052310D">
        <w:rPr>
          <w:rFonts w:eastAsiaTheme="minorEastAsia"/>
        </w:rPr>
        <w:t xml:space="preserve"> for more detail</w:t>
      </w:r>
      <w:r w:rsidR="002526EB">
        <w:rPr>
          <w:rFonts w:eastAsiaTheme="minorEastAsia"/>
        </w:rPr>
        <w:t>.</w:t>
      </w:r>
      <w:r w:rsidR="00461DA4">
        <w:rPr>
          <w:rFonts w:eastAsiaTheme="minorEastAsia"/>
        </w:rPr>
        <w:t xml:space="preserve"> Measurement guidance and emissions factors proposed for these upstream factors </w:t>
      </w:r>
      <w:r w:rsidR="00111099">
        <w:rPr>
          <w:rFonts w:eastAsiaTheme="minorEastAsia"/>
        </w:rPr>
        <w:t xml:space="preserve">is provided in </w:t>
      </w:r>
      <w:r w:rsidR="00DF2576">
        <w:rPr>
          <w:rFonts w:eastAsiaTheme="minorEastAsia"/>
        </w:rPr>
        <w:fldChar w:fldCharType="begin"/>
      </w:r>
      <w:r w:rsidR="00DF2576">
        <w:rPr>
          <w:rFonts w:eastAsiaTheme="minorEastAsia"/>
        </w:rPr>
        <w:instrText xml:space="preserve"> REF _Ref130561849 \r \h </w:instrText>
      </w:r>
      <w:r w:rsidR="00DF2576">
        <w:rPr>
          <w:rFonts w:eastAsiaTheme="minorEastAsia"/>
        </w:rPr>
      </w:r>
      <w:r w:rsidR="00DF2576">
        <w:rPr>
          <w:rFonts w:eastAsiaTheme="minorEastAsia"/>
        </w:rPr>
        <w:fldChar w:fldCharType="separate"/>
      </w:r>
      <w:r w:rsidR="00785FEC">
        <w:rPr>
          <w:rFonts w:eastAsiaTheme="minorEastAsia"/>
        </w:rPr>
        <w:t>Part 4</w:t>
      </w:r>
      <w:r w:rsidR="00DF2576">
        <w:rPr>
          <w:rFonts w:eastAsiaTheme="minorEastAsia"/>
        </w:rPr>
        <w:fldChar w:fldCharType="end"/>
      </w:r>
      <w:r w:rsidR="00111099">
        <w:rPr>
          <w:rFonts w:eastAsiaTheme="minorEastAsia"/>
        </w:rPr>
        <w:t xml:space="preserve"> of this document.</w:t>
      </w:r>
    </w:p>
    <w:p w14:paraId="5F4D0CD5" w14:textId="30D08C86" w:rsidR="0083725F" w:rsidRDefault="007D3B32" w:rsidP="005D07D2">
      <w:pPr>
        <w:rPr>
          <w:rFonts w:eastAsiaTheme="minorEastAsia"/>
        </w:rPr>
      </w:pPr>
      <w:r>
        <w:rPr>
          <w:rFonts w:eastAsiaTheme="minorEastAsia"/>
        </w:rPr>
        <w:t>The variables used to calculat</w:t>
      </w:r>
      <w:r w:rsidR="00416228">
        <w:rPr>
          <w:rFonts w:eastAsiaTheme="minorEastAsia"/>
        </w:rPr>
        <w:t>e</w:t>
      </w:r>
      <w:r>
        <w:rPr>
          <w:rFonts w:eastAsiaTheme="minorEastAsia"/>
        </w:rPr>
        <w:t xml:space="preserve"> upstream emissions will be provided by the </w:t>
      </w:r>
      <w:r w:rsidR="00416228">
        <w:rPr>
          <w:rFonts w:eastAsiaTheme="minorEastAsia"/>
        </w:rPr>
        <w:t xml:space="preserve">registered participant </w:t>
      </w:r>
      <w:r>
        <w:rPr>
          <w:rFonts w:eastAsiaTheme="minorEastAsia"/>
        </w:rPr>
        <w:t>who owns the product</w:t>
      </w:r>
      <w:r w:rsidR="00C60A2D">
        <w:rPr>
          <w:rFonts w:eastAsiaTheme="minorEastAsia"/>
        </w:rPr>
        <w:t>ion</w:t>
      </w:r>
      <w:r>
        <w:rPr>
          <w:rFonts w:eastAsiaTheme="minorEastAsia"/>
        </w:rPr>
        <w:t xml:space="preserve"> profile. The product</w:t>
      </w:r>
      <w:r w:rsidR="00C60A2D">
        <w:rPr>
          <w:rFonts w:eastAsiaTheme="minorEastAsia"/>
        </w:rPr>
        <w:t>ion</w:t>
      </w:r>
      <w:r>
        <w:rPr>
          <w:rFonts w:eastAsiaTheme="minorEastAsia"/>
        </w:rPr>
        <w:t xml:space="preserve"> profile will need to incorporate the feedstocks that are included in the </w:t>
      </w:r>
      <w:r w:rsidR="00080AC2">
        <w:rPr>
          <w:rFonts w:eastAsiaTheme="minorEastAsia"/>
        </w:rPr>
        <w:t>production boundary</w:t>
      </w:r>
      <w:r w:rsidR="002F1E85">
        <w:rPr>
          <w:rFonts w:eastAsiaTheme="minorEastAsia"/>
        </w:rPr>
        <w:t xml:space="preserve">, </w:t>
      </w:r>
      <w:r w:rsidR="2D80521B" w:rsidRPr="5B154DA0">
        <w:rPr>
          <w:rFonts w:eastAsiaTheme="minorEastAsia"/>
        </w:rPr>
        <w:t>the</w:t>
      </w:r>
      <w:r w:rsidR="002F1E85">
        <w:rPr>
          <w:rFonts w:eastAsiaTheme="minorEastAsia"/>
        </w:rPr>
        <w:t xml:space="preserve"> upstream emissions factors they are electing to use and how they propose to measure the quantity of the feedstock used in production. </w:t>
      </w:r>
      <w:r w:rsidR="00445614">
        <w:rPr>
          <w:rFonts w:eastAsiaTheme="minorEastAsia"/>
        </w:rPr>
        <w:t>When the nominated person submits a creation claim for Product GO</w:t>
      </w:r>
      <w:r w:rsidR="00672BAC">
        <w:rPr>
          <w:rFonts w:eastAsiaTheme="minorEastAsia"/>
        </w:rPr>
        <w:t xml:space="preserve"> </w:t>
      </w:r>
      <w:r w:rsidR="00AD62E9">
        <w:rPr>
          <w:rFonts w:eastAsiaTheme="minorEastAsia"/>
        </w:rPr>
        <w:t>C</w:t>
      </w:r>
      <w:r w:rsidR="00672BAC">
        <w:rPr>
          <w:rFonts w:eastAsiaTheme="minorEastAsia"/>
        </w:rPr>
        <w:t>ertificate</w:t>
      </w:r>
      <w:r w:rsidR="00445614">
        <w:rPr>
          <w:rFonts w:eastAsiaTheme="minorEastAsia"/>
        </w:rPr>
        <w:t>s, they may be required to submit measurement information in accordance with their product profile.</w:t>
      </w:r>
    </w:p>
    <w:tbl>
      <w:tblPr>
        <w:tblStyle w:val="CERCallout"/>
        <w:tblpPr w:leftFromText="180" w:rightFromText="180" w:vertAnchor="text" w:tblpY="1"/>
        <w:tblOverlap w:val="never"/>
        <w:tblW w:w="5000" w:type="pct"/>
        <w:tblLook w:val="0480" w:firstRow="0" w:lastRow="0" w:firstColumn="1" w:lastColumn="0" w:noHBand="0" w:noVBand="1"/>
        <w:tblCaption w:val="test"/>
        <w:tblDescription w:val="tesst"/>
      </w:tblPr>
      <w:tblGrid>
        <w:gridCol w:w="8996"/>
      </w:tblGrid>
      <w:tr w:rsidR="00537DE3" w14:paraId="48E2D3B4" w14:textId="77777777" w:rsidTr="00B215A6">
        <w:trPr>
          <w:cantSplit w:val="0"/>
        </w:trPr>
        <w:tc>
          <w:tcPr>
            <w:tcW w:w="0" w:type="pct"/>
          </w:tcPr>
          <w:p w14:paraId="34A1307E" w14:textId="77777777" w:rsidR="00537DE3" w:rsidRDefault="00537DE3" w:rsidP="0041634C">
            <w:pPr>
              <w:pStyle w:val="Heading4"/>
              <w:numPr>
                <w:ilvl w:val="3"/>
                <w:numId w:val="0"/>
              </w:numPr>
              <w:spacing w:before="0" w:beforeAutospacing="0" w:after="160"/>
              <w:rPr>
                <w:b/>
                <w:bCs/>
                <w:i w:val="0"/>
                <w:iCs/>
              </w:rPr>
            </w:pPr>
            <w:r>
              <w:rPr>
                <w:b/>
                <w:bCs/>
                <w:i w:val="0"/>
                <w:iCs/>
              </w:rPr>
              <w:t>Upstream emissions in practice</w:t>
            </w:r>
          </w:p>
          <w:p w14:paraId="4C4A7CDD" w14:textId="1C2C739E" w:rsidR="00FC148F" w:rsidRDefault="00FC148F" w:rsidP="0041634C">
            <w:pPr>
              <w:spacing w:before="0" w:beforeAutospacing="0" w:after="160"/>
            </w:pPr>
            <w:r>
              <w:t>Facility A</w:t>
            </w:r>
            <w:r w:rsidR="001665C2">
              <w:t>,</w:t>
            </w:r>
            <w:r w:rsidDel="001665C2">
              <w:t xml:space="preserve"> </w:t>
            </w:r>
            <w:r w:rsidR="001A4F5E">
              <w:t xml:space="preserve">located in non-metro Victoria, </w:t>
            </w:r>
            <w:r>
              <w:t xml:space="preserve">imports and consumes </w:t>
            </w:r>
            <w:r w:rsidR="00321AA7">
              <w:t>1</w:t>
            </w:r>
            <w:r w:rsidR="00C3741E">
              <w:t xml:space="preserve">00 </w:t>
            </w:r>
            <w:r w:rsidR="001A4F5E">
              <w:t>gigajoules of natural gas distributed in a pipeline.</w:t>
            </w:r>
            <w:r w:rsidR="00402B20">
              <w:t xml:space="preserve"> Of this amount</w:t>
            </w:r>
            <w:r w:rsidR="0089047F">
              <w:t>,</w:t>
            </w:r>
            <w:r w:rsidR="00402B20">
              <w:t xml:space="preserve"> only </w:t>
            </w:r>
            <w:r w:rsidR="004A21A1">
              <w:t>9</w:t>
            </w:r>
            <w:r w:rsidR="00402B20">
              <w:t xml:space="preserve">0 gigajoules </w:t>
            </w:r>
            <w:r w:rsidR="00382DCD">
              <w:t>are</w:t>
            </w:r>
            <w:r w:rsidR="00402B20">
              <w:t xml:space="preserve"> relevant to the </w:t>
            </w:r>
            <w:r w:rsidR="00080AC2">
              <w:t>production boundary</w:t>
            </w:r>
            <w:r w:rsidR="00402B20">
              <w:t xml:space="preserve"> with </w:t>
            </w:r>
            <w:r w:rsidR="004A21A1">
              <w:t>1</w:t>
            </w:r>
            <w:r w:rsidR="00402B20">
              <w:t>0</w:t>
            </w:r>
            <w:r w:rsidR="004A21A1">
              <w:t xml:space="preserve"> gigajoules being associated with non-attributable processes. </w:t>
            </w:r>
          </w:p>
          <w:p w14:paraId="6605A641" w14:textId="58715FE9" w:rsidR="003D40C5" w:rsidRDefault="003D40C5" w:rsidP="0041634C">
            <w:pPr>
              <w:spacing w:before="0" w:beforeAutospacing="0" w:after="160"/>
            </w:pPr>
            <w:r>
              <w:t>The proposed approach to recognising upstream emissions in practice will follow the equation below:</w:t>
            </w:r>
          </w:p>
          <w:p w14:paraId="491CDA4E" w14:textId="1B0963F7" w:rsidR="003D40C5" w:rsidRPr="008732B9" w:rsidRDefault="00015FB3" w:rsidP="0041634C">
            <w:pPr>
              <w:spacing w:before="0" w:beforeAutospacing="0" w:after="160"/>
              <w:jc w:val="center"/>
              <w:rPr>
                <w:rFonts w:eastAsiaTheme="minorEastAsia"/>
                <w:b/>
              </w:rPr>
            </w:pPr>
            <m:oMathPara>
              <m:oMath>
                <m:r>
                  <m:rPr>
                    <m:sty m:val="bi"/>
                  </m:rPr>
                  <w:rPr>
                    <w:rFonts w:ascii="Cambria Math" w:hAnsi="Cambria Math"/>
                  </w:rPr>
                  <m:t>E</m:t>
                </m:r>
                <m:sSub>
                  <m:sSubPr>
                    <m:ctrlPr>
                      <w:rPr>
                        <w:rFonts w:ascii="Cambria Math" w:hAnsi="Cambria Math"/>
                        <w:b/>
                        <w:bCs/>
                        <w:i/>
                      </w:rPr>
                    </m:ctrlPr>
                  </m:sSubPr>
                  <m:e>
                    <m:r>
                      <m:rPr>
                        <m:sty m:val="p"/>
                      </m:rPr>
                      <w:rPr>
                        <w:rFonts w:ascii="Cambria Math" w:hAnsi="Cambria Math"/>
                      </w:rPr>
                      <w:softHyphen/>
                    </m:r>
                  </m:e>
                  <m:sub>
                    <m:r>
                      <m:rPr>
                        <m:sty m:val="bi"/>
                      </m:rPr>
                      <w:rPr>
                        <w:rFonts w:ascii="Cambria Math" w:hAnsi="Cambria Math"/>
                      </w:rPr>
                      <m:t>upstream, i</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i</m:t>
                    </m:r>
                  </m:sub>
                </m:sSub>
                <m:r>
                  <m:rPr>
                    <m:sty m:val="bi"/>
                  </m:rPr>
                  <w:rPr>
                    <w:rFonts w:ascii="Cambria Math" w:hAnsi="Cambria Math"/>
                  </w:rPr>
                  <m:t>×E</m:t>
                </m:r>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upstream, i</m:t>
                    </m:r>
                  </m:sub>
                </m:sSub>
              </m:oMath>
            </m:oMathPara>
          </w:p>
          <w:p w14:paraId="3CC4BDA1" w14:textId="62B2C830" w:rsidR="001260C8" w:rsidRDefault="001260C8" w:rsidP="0041634C">
            <w:pPr>
              <w:spacing w:before="0" w:beforeAutospacing="0" w:after="160"/>
              <w:rPr>
                <w:rFonts w:eastAsiaTheme="minorEastAsia"/>
              </w:rPr>
            </w:pPr>
            <w:r>
              <w:rPr>
                <w:rFonts w:eastAsiaTheme="minorEastAsia"/>
              </w:rPr>
              <w:t>Where:</w:t>
            </w:r>
          </w:p>
          <w:p w14:paraId="21D9FC02" w14:textId="661F1604" w:rsidR="001260C8" w:rsidRDefault="00785FEC" w:rsidP="0041634C">
            <w:pPr>
              <w:spacing w:before="0" w:beforeAutospacing="0" w:after="160"/>
              <w:rPr>
                <w:rFonts w:eastAsiaTheme="minorEastAsia"/>
              </w:rPr>
            </w:pPr>
            <m:oMath>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i</m:t>
                  </m:r>
                </m:sub>
              </m:sSub>
            </m:oMath>
            <w:r w:rsidR="0001061E">
              <w:rPr>
                <w:rFonts w:eastAsiaTheme="minorEastAsia"/>
              </w:rPr>
              <w:t xml:space="preserve"> is the quantity of input </w:t>
            </w:r>
            <w:proofErr w:type="spellStart"/>
            <w:r w:rsidR="00AB49B0">
              <w:rPr>
                <w:rFonts w:eastAsiaTheme="minorEastAsia"/>
              </w:rPr>
              <w:t>i</w:t>
            </w:r>
            <w:proofErr w:type="spellEnd"/>
            <w:r w:rsidR="00AB49B0">
              <w:rPr>
                <w:rFonts w:eastAsiaTheme="minorEastAsia"/>
              </w:rPr>
              <w:t xml:space="preserve"> </w:t>
            </w:r>
            <w:r w:rsidR="0001061E">
              <w:rPr>
                <w:rFonts w:eastAsiaTheme="minorEastAsia"/>
              </w:rPr>
              <w:t xml:space="preserve">consumed within the </w:t>
            </w:r>
            <w:r w:rsidR="00080AC2">
              <w:rPr>
                <w:rFonts w:eastAsiaTheme="minorEastAsia"/>
              </w:rPr>
              <w:t>production boundary</w:t>
            </w:r>
            <w:r w:rsidR="00C3741E">
              <w:rPr>
                <w:rFonts w:eastAsiaTheme="minorEastAsia"/>
              </w:rPr>
              <w:t xml:space="preserve">. </w:t>
            </w:r>
          </w:p>
          <w:p w14:paraId="0859C5DD" w14:textId="5D4C5422" w:rsidR="00C3741E" w:rsidRDefault="00614EE6" w:rsidP="0041634C">
            <w:pPr>
              <w:spacing w:before="0" w:beforeAutospacing="0" w:after="160"/>
              <w:rPr>
                <w:rFonts w:eastAsiaTheme="minorEastAsia"/>
              </w:rPr>
            </w:pPr>
            <m:oMath>
              <m:r>
                <m:rPr>
                  <m:sty m:val="bi"/>
                </m:rPr>
                <w:rPr>
                  <w:rFonts w:ascii="Cambria Math" w:hAnsi="Cambria Math"/>
                </w:rPr>
                <m:t>E</m:t>
              </m:r>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upstream, i</m:t>
                  </m:r>
                </m:sub>
              </m:sSub>
            </m:oMath>
            <w:r w:rsidR="009163AD" w:rsidRPr="00614EE6">
              <w:rPr>
                <w:rFonts w:eastAsiaTheme="minorEastAsia"/>
                <w:b/>
                <w:bCs/>
              </w:rPr>
              <w:t xml:space="preserve"> </w:t>
            </w:r>
            <w:r w:rsidR="009163AD">
              <w:rPr>
                <w:rFonts w:eastAsiaTheme="minorEastAsia"/>
              </w:rPr>
              <w:t xml:space="preserve">is the upstream emissions </w:t>
            </w:r>
            <w:r w:rsidR="00AB49B0">
              <w:rPr>
                <w:rFonts w:eastAsiaTheme="minorEastAsia"/>
              </w:rPr>
              <w:t xml:space="preserve">factor </w:t>
            </w:r>
            <w:r w:rsidR="009163AD">
              <w:rPr>
                <w:rFonts w:eastAsiaTheme="minorEastAsia"/>
              </w:rPr>
              <w:t xml:space="preserve">associated with input </w:t>
            </w:r>
            <w:proofErr w:type="spellStart"/>
            <w:r w:rsidR="009163AD">
              <w:rPr>
                <w:rFonts w:eastAsiaTheme="minorEastAsia"/>
              </w:rPr>
              <w:t>i</w:t>
            </w:r>
            <w:proofErr w:type="spellEnd"/>
            <w:r w:rsidR="009163AD">
              <w:rPr>
                <w:rFonts w:eastAsiaTheme="minorEastAsia"/>
              </w:rPr>
              <w:t>.</w:t>
            </w:r>
            <w:r w:rsidR="00C3741E">
              <w:rPr>
                <w:rFonts w:eastAsiaTheme="minorEastAsia"/>
              </w:rPr>
              <w:t xml:space="preserve"> The emissions factor is reported in terms of kilograms of carbon dioxide equivalent per functional unit used in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rsidR="00C3741E">
              <w:rPr>
                <w:rFonts w:eastAsiaTheme="minorEastAsia"/>
              </w:rPr>
              <w:t>.</w:t>
            </w:r>
          </w:p>
          <w:p w14:paraId="7B162AD4" w14:textId="5F3B7B21" w:rsidR="0001061E" w:rsidRDefault="00CE74A3" w:rsidP="0041634C">
            <w:pPr>
              <w:spacing w:before="0" w:beforeAutospacing="0" w:after="160"/>
              <w:rPr>
                <w:rFonts w:eastAsiaTheme="minorEastAsia"/>
              </w:rPr>
            </w:pPr>
            <w:r>
              <w:rPr>
                <w:rFonts w:eastAsiaTheme="minorEastAsia"/>
              </w:rPr>
              <w:t xml:space="preserve">In the example mentioned above, the relevant quantity </w:t>
            </w:r>
            <w:r w:rsidR="00C90CA1">
              <w:rPr>
                <w:rFonts w:eastAsiaTheme="minorEastAsia"/>
              </w:rPr>
              <w:t xml:space="preserve">of natural gas </w:t>
            </w:r>
            <w:r>
              <w:rPr>
                <w:rFonts w:eastAsiaTheme="minorEastAsia"/>
              </w:rPr>
              <w:t xml:space="preserve">is </w:t>
            </w:r>
            <w:r w:rsidR="00294178">
              <w:rPr>
                <w:rFonts w:eastAsiaTheme="minorEastAsia"/>
              </w:rPr>
              <w:t>9</w:t>
            </w:r>
            <w:r w:rsidR="00093D95">
              <w:rPr>
                <w:rFonts w:eastAsiaTheme="minorEastAsia"/>
              </w:rPr>
              <w:t xml:space="preserve">0 </w:t>
            </w:r>
            <w:r w:rsidR="00E271E7">
              <w:rPr>
                <w:rFonts w:eastAsiaTheme="minorEastAsia"/>
              </w:rPr>
              <w:t>gigajoule</w:t>
            </w:r>
            <w:r w:rsidR="0029734D">
              <w:rPr>
                <w:rFonts w:eastAsiaTheme="minorEastAsia"/>
              </w:rPr>
              <w:t>s</w:t>
            </w:r>
            <w:r w:rsidR="00E271E7">
              <w:rPr>
                <w:rFonts w:eastAsiaTheme="minorEastAsia"/>
              </w:rPr>
              <w:t xml:space="preserve"> </w:t>
            </w:r>
            <w:r w:rsidR="00093D95">
              <w:rPr>
                <w:rFonts w:eastAsiaTheme="minorEastAsia"/>
              </w:rPr>
              <w:t xml:space="preserve">while the upstream emissions factor sourced in accordance with </w:t>
            </w:r>
            <w:r w:rsidR="009A7540">
              <w:rPr>
                <w:rFonts w:eastAsiaTheme="minorEastAsia"/>
              </w:rPr>
              <w:fldChar w:fldCharType="begin"/>
            </w:r>
            <w:r w:rsidR="009A7540">
              <w:rPr>
                <w:rFonts w:eastAsiaTheme="minorEastAsia"/>
              </w:rPr>
              <w:instrText xml:space="preserve"> REF _Ref130561849 \r \h </w:instrText>
            </w:r>
            <w:r w:rsidR="009A7540">
              <w:rPr>
                <w:rFonts w:eastAsiaTheme="minorEastAsia"/>
              </w:rPr>
            </w:r>
            <w:r w:rsidR="009A7540">
              <w:rPr>
                <w:rFonts w:eastAsiaTheme="minorEastAsia"/>
              </w:rPr>
              <w:fldChar w:fldCharType="separate"/>
            </w:r>
            <w:r w:rsidR="00785FEC">
              <w:rPr>
                <w:rFonts w:eastAsiaTheme="minorEastAsia"/>
              </w:rPr>
              <w:t>Part 4</w:t>
            </w:r>
            <w:r w:rsidR="009A7540">
              <w:rPr>
                <w:rFonts w:eastAsiaTheme="minorEastAsia"/>
              </w:rPr>
              <w:fldChar w:fldCharType="end"/>
            </w:r>
            <w:r w:rsidR="00093D95">
              <w:rPr>
                <w:rFonts w:eastAsiaTheme="minorEastAsia"/>
              </w:rPr>
              <w:t xml:space="preserve"> of this paper is </w:t>
            </w:r>
            <w:r w:rsidR="009354C6">
              <w:rPr>
                <w:rFonts w:eastAsiaTheme="minorEastAsia"/>
              </w:rPr>
              <w:t>4.0</w:t>
            </w:r>
            <w:r w:rsidR="001A2986">
              <w:rPr>
                <w:rFonts w:eastAsiaTheme="minorEastAsia"/>
              </w:rPr>
              <w:t xml:space="preserve"> kg</w:t>
            </w:r>
            <w:r w:rsidR="007337BB">
              <w:rPr>
                <w:rFonts w:eastAsiaTheme="minorEastAsia"/>
              </w:rPr>
              <w:t xml:space="preserve"> CO</w:t>
            </w:r>
            <w:r w:rsidR="007337BB" w:rsidRPr="004A5B10">
              <w:rPr>
                <w:rFonts w:eastAsiaTheme="minorEastAsia"/>
                <w:vertAlign w:val="subscript"/>
              </w:rPr>
              <w:t>2</w:t>
            </w:r>
            <w:r w:rsidR="007337BB" w:rsidRPr="004A5B10">
              <w:rPr>
                <w:rFonts w:eastAsiaTheme="minorEastAsia"/>
              </w:rPr>
              <w:t>-e</w:t>
            </w:r>
            <w:r w:rsidR="004A5B10">
              <w:rPr>
                <w:rFonts w:eastAsiaTheme="minorEastAsia"/>
              </w:rPr>
              <w:t>/GJ</w:t>
            </w:r>
            <w:r w:rsidR="00FF588A">
              <w:rPr>
                <w:rFonts w:eastAsiaTheme="minorEastAsia"/>
              </w:rPr>
              <w:t xml:space="preserve"> natural gas</w:t>
            </w:r>
            <w:r w:rsidR="00785306">
              <w:rPr>
                <w:rFonts w:eastAsiaTheme="minorEastAsia"/>
              </w:rPr>
              <w:t>. Substituting this into the above equation we get the following:</w:t>
            </w:r>
          </w:p>
          <w:p w14:paraId="144F6FE2" w14:textId="6616D2A5" w:rsidR="00785306" w:rsidRPr="008732B9" w:rsidRDefault="00015FB3" w:rsidP="0041634C">
            <w:pPr>
              <w:spacing w:before="0" w:beforeAutospacing="0" w:after="160"/>
              <w:jc w:val="center"/>
              <w:rPr>
                <w:rFonts w:eastAsiaTheme="minorEastAsia"/>
                <w:b/>
              </w:rPr>
            </w:pPr>
            <m:oMathPara>
              <m:oMath>
                <m:r>
                  <m:rPr>
                    <m:sty m:val="bi"/>
                  </m:rPr>
                  <w:rPr>
                    <w:rFonts w:ascii="Cambria Math" w:hAnsi="Cambria Math"/>
                  </w:rPr>
                  <m:t>360=90×4</m:t>
                </m:r>
              </m:oMath>
            </m:oMathPara>
          </w:p>
          <w:p w14:paraId="0F519C38" w14:textId="1C93AAE6" w:rsidR="00AB49B0" w:rsidRPr="003D40C5" w:rsidRDefault="00465ED3" w:rsidP="0041634C">
            <w:pPr>
              <w:spacing w:before="0" w:beforeAutospacing="0" w:after="160"/>
            </w:pPr>
            <w:r>
              <w:rPr>
                <w:rFonts w:eastAsiaTheme="minorEastAsia"/>
              </w:rPr>
              <w:t xml:space="preserve">This </w:t>
            </w:r>
            <w:r w:rsidR="001E2C0E">
              <w:rPr>
                <w:rFonts w:eastAsiaTheme="minorEastAsia"/>
              </w:rPr>
              <w:t xml:space="preserve">would mean that the total upstream emissions attributable to the natural gas within the </w:t>
            </w:r>
            <w:r w:rsidR="00080AC2">
              <w:rPr>
                <w:rFonts w:eastAsiaTheme="minorEastAsia"/>
              </w:rPr>
              <w:t>production boundary</w:t>
            </w:r>
            <w:r w:rsidR="001E2C0E">
              <w:rPr>
                <w:rFonts w:eastAsiaTheme="minorEastAsia"/>
              </w:rPr>
              <w:t xml:space="preserve"> is 360 </w:t>
            </w:r>
            <w:r w:rsidR="001349B5">
              <w:rPr>
                <w:rFonts w:eastAsiaTheme="minorEastAsia"/>
              </w:rPr>
              <w:t>kg CO</w:t>
            </w:r>
            <w:r w:rsidR="001349B5" w:rsidRPr="00E547AD">
              <w:rPr>
                <w:rFonts w:eastAsiaTheme="minorEastAsia"/>
                <w:vertAlign w:val="subscript"/>
              </w:rPr>
              <w:t>2</w:t>
            </w:r>
            <w:r w:rsidR="001349B5">
              <w:rPr>
                <w:rFonts w:eastAsiaTheme="minorEastAsia"/>
              </w:rPr>
              <w:t>-e</w:t>
            </w:r>
            <w:r w:rsidR="001E2C0E">
              <w:rPr>
                <w:rFonts w:eastAsiaTheme="minorEastAsia"/>
              </w:rPr>
              <w:t xml:space="preserve">. </w:t>
            </w:r>
          </w:p>
        </w:tc>
      </w:tr>
    </w:tbl>
    <w:p w14:paraId="2182DD63" w14:textId="0E7C9D1C" w:rsidR="00231991" w:rsidRDefault="00C87F0F" w:rsidP="0065341D">
      <w:pPr>
        <w:spacing w:before="120"/>
        <w:rPr>
          <w:rFonts w:eastAsiaTheme="minorEastAsia"/>
        </w:rPr>
      </w:pPr>
      <w:r>
        <w:rPr>
          <w:rFonts w:eastAsiaTheme="minorEastAsia"/>
        </w:rPr>
        <w:t xml:space="preserve">This proposed approach to upstream emissions is intended to provide a </w:t>
      </w:r>
      <w:r w:rsidR="00850A2C">
        <w:rPr>
          <w:rFonts w:eastAsiaTheme="minorEastAsia"/>
        </w:rPr>
        <w:t xml:space="preserve">solid foundation to the </w:t>
      </w:r>
      <w:r w:rsidR="00907AE4">
        <w:rPr>
          <w:rFonts w:eastAsiaTheme="minorEastAsia"/>
        </w:rPr>
        <w:t xml:space="preserve">emissions accounting approach. </w:t>
      </w:r>
      <w:r w:rsidR="00DF55E5">
        <w:rPr>
          <w:rFonts w:eastAsiaTheme="minorEastAsia"/>
        </w:rPr>
        <w:t>However, t</w:t>
      </w:r>
      <w:r w:rsidR="00907AE4">
        <w:rPr>
          <w:rFonts w:eastAsiaTheme="minorEastAsia"/>
        </w:rPr>
        <w:t xml:space="preserve">here is an option for further development </w:t>
      </w:r>
      <w:r w:rsidR="00796117">
        <w:rPr>
          <w:rFonts w:eastAsiaTheme="minorEastAsia"/>
        </w:rPr>
        <w:t>in the future</w:t>
      </w:r>
      <w:r w:rsidR="00231991">
        <w:rPr>
          <w:rFonts w:eastAsiaTheme="minorEastAsia"/>
        </w:rPr>
        <w:t>. There are already default upstream factors for most of the feedstocks</w:t>
      </w:r>
      <w:r w:rsidR="00042B71">
        <w:rPr>
          <w:rFonts w:eastAsiaTheme="minorEastAsia"/>
        </w:rPr>
        <w:t>.</w:t>
      </w:r>
      <w:r w:rsidR="00877A34">
        <w:rPr>
          <w:rFonts w:eastAsiaTheme="minorEastAsia"/>
        </w:rPr>
        <w:t xml:space="preserve"> H</w:t>
      </w:r>
      <w:r w:rsidR="00231991">
        <w:rPr>
          <w:rFonts w:eastAsiaTheme="minorEastAsia"/>
        </w:rPr>
        <w:t>owever</w:t>
      </w:r>
      <w:r w:rsidR="00877A34">
        <w:rPr>
          <w:rFonts w:eastAsiaTheme="minorEastAsia"/>
        </w:rPr>
        <w:t>,</w:t>
      </w:r>
      <w:r w:rsidR="00231991">
        <w:rPr>
          <w:rFonts w:eastAsiaTheme="minorEastAsia"/>
        </w:rPr>
        <w:t xml:space="preserve"> there may be some gaps </w:t>
      </w:r>
      <w:r w:rsidR="00C66140">
        <w:rPr>
          <w:rFonts w:eastAsiaTheme="minorEastAsia"/>
        </w:rPr>
        <w:t>where</w:t>
      </w:r>
      <w:r w:rsidR="00231991">
        <w:rPr>
          <w:rFonts w:eastAsiaTheme="minorEastAsia"/>
        </w:rPr>
        <w:t xml:space="preserve"> the Department </w:t>
      </w:r>
      <w:r w:rsidR="00C66140">
        <w:rPr>
          <w:rFonts w:eastAsiaTheme="minorEastAsia"/>
        </w:rPr>
        <w:t>may</w:t>
      </w:r>
      <w:r w:rsidR="00231991">
        <w:rPr>
          <w:rFonts w:eastAsiaTheme="minorEastAsia"/>
        </w:rPr>
        <w:t xml:space="preserve"> undertak</w:t>
      </w:r>
      <w:r w:rsidR="00C66140">
        <w:rPr>
          <w:rFonts w:eastAsiaTheme="minorEastAsia"/>
        </w:rPr>
        <w:t>e</w:t>
      </w:r>
      <w:r w:rsidR="00231991">
        <w:rPr>
          <w:rFonts w:eastAsiaTheme="minorEastAsia"/>
        </w:rPr>
        <w:t xml:space="preserve"> further work. </w:t>
      </w:r>
    </w:p>
    <w:p w14:paraId="05F36EFB" w14:textId="6566F88F" w:rsidR="00537DE3" w:rsidRDefault="00231991" w:rsidP="00DE7F27">
      <w:pPr>
        <w:rPr>
          <w:rFonts w:eastAsiaTheme="minorEastAsia"/>
        </w:rPr>
      </w:pPr>
      <w:r>
        <w:rPr>
          <w:rFonts w:eastAsiaTheme="minorEastAsia"/>
        </w:rPr>
        <w:t xml:space="preserve">There could also be the option to develop bespoke upstream emissions factors to reflect supplier specific emissions. </w:t>
      </w:r>
      <w:r w:rsidR="5CEC0B9D" w:rsidRPr="5B154DA0">
        <w:rPr>
          <w:rFonts w:eastAsiaTheme="minorEastAsia"/>
        </w:rPr>
        <w:t xml:space="preserve">The </w:t>
      </w:r>
      <w:r w:rsidR="3D506459" w:rsidRPr="5B154DA0">
        <w:rPr>
          <w:rFonts w:eastAsiaTheme="minorEastAsia"/>
        </w:rPr>
        <w:t>Government</w:t>
      </w:r>
      <w:r>
        <w:rPr>
          <w:rFonts w:eastAsiaTheme="minorEastAsia"/>
        </w:rPr>
        <w:t xml:space="preserve"> will explore options for how these factors could be derived. </w:t>
      </w:r>
      <w:r w:rsidR="00B13A98">
        <w:rPr>
          <w:rFonts w:eastAsiaTheme="minorEastAsia"/>
        </w:rPr>
        <w:t>However, this would also require t</w:t>
      </w:r>
      <w:r>
        <w:rPr>
          <w:rFonts w:eastAsiaTheme="minorEastAsia"/>
        </w:rPr>
        <w:t xml:space="preserve">he Clean Energy Regulator </w:t>
      </w:r>
      <w:r w:rsidR="00B13A98">
        <w:rPr>
          <w:rFonts w:eastAsiaTheme="minorEastAsia"/>
        </w:rPr>
        <w:t xml:space="preserve">to develop an assessment approach to ensure the integrity of these factors. </w:t>
      </w:r>
      <w:r w:rsidR="00DE7F27">
        <w:rPr>
          <w:rFonts w:eastAsiaTheme="minorEastAsia"/>
        </w:rPr>
        <w:t xml:space="preserve">This is outside of the scope for this paper, </w:t>
      </w:r>
      <w:r w:rsidR="00DC78BE">
        <w:rPr>
          <w:rFonts w:eastAsiaTheme="minorEastAsia"/>
        </w:rPr>
        <w:t xml:space="preserve">and </w:t>
      </w:r>
      <w:r w:rsidR="00DE7F27">
        <w:rPr>
          <w:rFonts w:eastAsiaTheme="minorEastAsia"/>
        </w:rPr>
        <w:t xml:space="preserve">these bespoke upstream factors could be developed at a later date. </w:t>
      </w:r>
    </w:p>
    <w:p w14:paraId="072B99C7" w14:textId="2B42DC31" w:rsidR="0013279A" w:rsidRDefault="00DE7F27" w:rsidP="0013279A">
      <w:pPr>
        <w:rPr>
          <w:rFonts w:eastAsiaTheme="minorEastAsia"/>
        </w:rPr>
      </w:pPr>
      <w:r>
        <w:rPr>
          <w:rFonts w:eastAsiaTheme="minorEastAsia"/>
        </w:rPr>
        <w:t>Another future consideration is Product GO</w:t>
      </w:r>
      <w:r w:rsidR="00672BAC">
        <w:rPr>
          <w:rFonts w:eastAsiaTheme="minorEastAsia"/>
        </w:rPr>
        <w:t xml:space="preserve"> </w:t>
      </w:r>
      <w:r w:rsidR="00CA05AC">
        <w:rPr>
          <w:rFonts w:eastAsiaTheme="minorEastAsia"/>
        </w:rPr>
        <w:t>C</w:t>
      </w:r>
      <w:r w:rsidR="00672BAC">
        <w:rPr>
          <w:rFonts w:eastAsiaTheme="minorEastAsia"/>
        </w:rPr>
        <w:t>ertificate</w:t>
      </w:r>
      <w:r>
        <w:rPr>
          <w:rFonts w:eastAsiaTheme="minorEastAsia"/>
        </w:rPr>
        <w:t>s that</w:t>
      </w:r>
      <w:r w:rsidDel="00142F6E">
        <w:rPr>
          <w:rFonts w:eastAsiaTheme="minorEastAsia"/>
        </w:rPr>
        <w:t xml:space="preserve"> </w:t>
      </w:r>
      <w:r>
        <w:rPr>
          <w:rFonts w:eastAsiaTheme="minorEastAsia"/>
        </w:rPr>
        <w:t>provide specific information about the upstream emissions. This paper does not propose a specific approach</w:t>
      </w:r>
      <w:r w:rsidR="00AC014E">
        <w:rPr>
          <w:rFonts w:eastAsiaTheme="minorEastAsia"/>
        </w:rPr>
        <w:t>. H</w:t>
      </w:r>
      <w:r>
        <w:rPr>
          <w:rFonts w:eastAsiaTheme="minorEastAsia"/>
        </w:rPr>
        <w:t>owever</w:t>
      </w:r>
      <w:r w:rsidR="00AC014E">
        <w:rPr>
          <w:rFonts w:eastAsiaTheme="minorEastAsia"/>
        </w:rPr>
        <w:t>,</w:t>
      </w:r>
      <w:r>
        <w:rPr>
          <w:rFonts w:eastAsiaTheme="minorEastAsia"/>
        </w:rPr>
        <w:t xml:space="preserve"> Product GO</w:t>
      </w:r>
      <w:r w:rsidR="00672BAC">
        <w:rPr>
          <w:rFonts w:eastAsiaTheme="minorEastAsia"/>
        </w:rPr>
        <w:t xml:space="preserve"> </w:t>
      </w:r>
      <w:r w:rsidR="00CA05AC">
        <w:rPr>
          <w:rFonts w:eastAsiaTheme="minorEastAsia"/>
        </w:rPr>
        <w:t>Certificates</w:t>
      </w:r>
      <w:r>
        <w:rPr>
          <w:rFonts w:eastAsiaTheme="minorEastAsia"/>
        </w:rPr>
        <w:t xml:space="preserve"> </w:t>
      </w:r>
      <w:r w:rsidR="00D047D9">
        <w:rPr>
          <w:rFonts w:eastAsiaTheme="minorEastAsia"/>
        </w:rPr>
        <w:t>w</w:t>
      </w:r>
      <w:r w:rsidR="00877ABD">
        <w:rPr>
          <w:rFonts w:eastAsiaTheme="minorEastAsia"/>
        </w:rPr>
        <w:t>ould</w:t>
      </w:r>
      <w:r>
        <w:rPr>
          <w:rFonts w:eastAsiaTheme="minorEastAsia"/>
        </w:rPr>
        <w:t xml:space="preserve"> be eligible substitutes to the above approach</w:t>
      </w:r>
      <w:r w:rsidR="00E37C81">
        <w:rPr>
          <w:rFonts w:eastAsiaTheme="minorEastAsia"/>
        </w:rPr>
        <w:t xml:space="preserve"> where Product GO</w:t>
      </w:r>
      <w:r w:rsidR="00F21E1A">
        <w:rPr>
          <w:rFonts w:eastAsiaTheme="minorEastAsia"/>
        </w:rPr>
        <w:t xml:space="preserve"> </w:t>
      </w:r>
      <w:r w:rsidR="00CA05AC">
        <w:rPr>
          <w:rFonts w:eastAsiaTheme="minorEastAsia"/>
        </w:rPr>
        <w:t>Certificates</w:t>
      </w:r>
      <w:r w:rsidR="00E37C81">
        <w:rPr>
          <w:rFonts w:eastAsiaTheme="minorEastAsia"/>
        </w:rPr>
        <w:t xml:space="preserve"> exist</w:t>
      </w:r>
      <w:r>
        <w:rPr>
          <w:rFonts w:eastAsiaTheme="minorEastAsia"/>
        </w:rPr>
        <w:t>.</w:t>
      </w:r>
      <w:r w:rsidR="00127D3B">
        <w:rPr>
          <w:rFonts w:eastAsiaTheme="minorEastAsia"/>
        </w:rPr>
        <w:t xml:space="preserve"> A</w:t>
      </w:r>
      <w:r>
        <w:rPr>
          <w:rFonts w:eastAsiaTheme="minorEastAsia"/>
        </w:rPr>
        <w:t xml:space="preserve">n approach will be developed when other products such as </w:t>
      </w:r>
      <w:r w:rsidR="006F4A43">
        <w:rPr>
          <w:rFonts w:eastAsiaTheme="minorEastAsia"/>
        </w:rPr>
        <w:t xml:space="preserve">ammonia </w:t>
      </w:r>
      <w:r>
        <w:rPr>
          <w:rFonts w:eastAsiaTheme="minorEastAsia"/>
        </w:rPr>
        <w:t xml:space="preserve">are integrated into the GO scheme. </w:t>
      </w:r>
    </w:p>
    <w:p w14:paraId="725008DD" w14:textId="77777777" w:rsidR="003B5FA3" w:rsidRDefault="008D4BAF" w:rsidP="0013279A">
      <w:r>
        <w:t>Where specific and timely data does not exist for upstream emissions, data from historical emissions may be used to estimate factors annually based on NGER reporting.</w:t>
      </w:r>
      <w:r w:rsidR="00566ACE">
        <w:t xml:space="preserve"> </w:t>
      </w:r>
    </w:p>
    <w:p w14:paraId="25965982" w14:textId="751FE256" w:rsidR="003B5FA3" w:rsidRPr="003B5FA3" w:rsidRDefault="00817E0F" w:rsidP="00E07A46">
      <w:pPr>
        <w:pStyle w:val="Calloutbox"/>
        <w:keepNext/>
        <w:contextualSpacing w:val="0"/>
        <w:rPr>
          <w:b/>
          <w:bCs/>
        </w:rPr>
      </w:pPr>
      <w:r>
        <w:rPr>
          <w:b/>
          <w:bCs/>
        </w:rPr>
        <w:t xml:space="preserve">GO Calculator user guide – </w:t>
      </w:r>
      <w:r w:rsidR="00916FD4">
        <w:rPr>
          <w:b/>
          <w:bCs/>
        </w:rPr>
        <w:t xml:space="preserve">Inputting </w:t>
      </w:r>
      <w:r>
        <w:rPr>
          <w:b/>
          <w:bCs/>
        </w:rPr>
        <w:t>upstream emissions variables</w:t>
      </w:r>
    </w:p>
    <w:p w14:paraId="5DB13DBB" w14:textId="4ADEE285" w:rsidR="00D3246D" w:rsidRDefault="003B5FA3" w:rsidP="00FD6187">
      <w:pPr>
        <w:pStyle w:val="Calloutbox"/>
        <w:contextualSpacing w:val="0"/>
      </w:pPr>
      <w:r>
        <w:t xml:space="preserve">The </w:t>
      </w:r>
      <w:r w:rsidR="00996876">
        <w:t xml:space="preserve">production pathway tabs </w:t>
      </w:r>
      <w:r w:rsidR="005A26C2">
        <w:t xml:space="preserve">require inputs to calculate </w:t>
      </w:r>
      <w:r w:rsidR="00E9662D">
        <w:t xml:space="preserve">upstream emissions </w:t>
      </w:r>
      <w:r w:rsidR="008915A0">
        <w:t>associated with inputs to the production process</w:t>
      </w:r>
      <w:r w:rsidR="00D6504E">
        <w:t xml:space="preserve">. </w:t>
      </w:r>
      <w:r w:rsidR="001D6E73">
        <w:t xml:space="preserve">Users will </w:t>
      </w:r>
      <w:r w:rsidR="006403D0">
        <w:t xml:space="preserve">be able to provide information about the </w:t>
      </w:r>
      <w:r w:rsidR="005946B9">
        <w:t xml:space="preserve">source for the </w:t>
      </w:r>
      <w:r w:rsidR="00C807F3">
        <w:t>input</w:t>
      </w:r>
      <w:r w:rsidR="00473082">
        <w:t>, including the quantity</w:t>
      </w:r>
      <w:r w:rsidR="00514D78">
        <w:t xml:space="preserve">, and </w:t>
      </w:r>
      <w:r w:rsidR="009E73AF">
        <w:t>bespoke</w:t>
      </w:r>
      <w:r w:rsidR="00330F07">
        <w:t xml:space="preserve"> </w:t>
      </w:r>
      <w:r w:rsidR="00B905F1">
        <w:t xml:space="preserve">upstream emissions factors, or relevant information for </w:t>
      </w:r>
      <w:r w:rsidR="00D3246D">
        <w:t>identifying an eligible default factor.</w:t>
      </w:r>
    </w:p>
    <w:p w14:paraId="3022C443" w14:textId="5BBC903F" w:rsidR="00897577" w:rsidRDefault="00D3246D" w:rsidP="008F5469">
      <w:pPr>
        <w:pStyle w:val="Calloutbox"/>
      </w:pPr>
      <w:r>
        <w:t>The</w:t>
      </w:r>
      <w:r w:rsidR="00783745">
        <w:t xml:space="preserve"> upstream emissions are calculated in the </w:t>
      </w:r>
      <w:r w:rsidR="00C76C27">
        <w:t xml:space="preserve">consumption sections related to water, steam, feedstocks, combustion fuels and other </w:t>
      </w:r>
      <w:r w:rsidR="008F5469">
        <w:t xml:space="preserve">inputs. </w:t>
      </w:r>
    </w:p>
    <w:p w14:paraId="741A4CBA" w14:textId="66377870" w:rsidR="00155283" w:rsidRDefault="00155283" w:rsidP="00BB357C">
      <w:pPr>
        <w:pStyle w:val="Heading3"/>
        <w:spacing w:before="200"/>
      </w:pPr>
      <w:bookmarkStart w:id="145" w:name="_Ref132810927"/>
      <w:r>
        <w:t>Direct emissions</w:t>
      </w:r>
      <w:bookmarkEnd w:id="145"/>
      <w:r>
        <w:t xml:space="preserve"> </w:t>
      </w:r>
    </w:p>
    <w:p w14:paraId="68430C58" w14:textId="16A23F64" w:rsidR="00BC1555" w:rsidRDefault="00C40848" w:rsidP="00155283">
      <w:r>
        <w:t xml:space="preserve">Direct emissions are the scope 1 emissions associated with the consumption of feedstocks within the </w:t>
      </w:r>
      <w:r w:rsidR="00080AC2">
        <w:t>production boundary</w:t>
      </w:r>
      <w:r>
        <w:t xml:space="preserve">. </w:t>
      </w:r>
      <w:r w:rsidR="00A7545D">
        <w:t xml:space="preserve">The </w:t>
      </w:r>
      <w:r w:rsidR="0004369E">
        <w:t xml:space="preserve">types of direct emissions that are </w:t>
      </w:r>
      <w:r w:rsidR="00231B3A">
        <w:t xml:space="preserve">proposed to be </w:t>
      </w:r>
      <w:r w:rsidR="0004369E">
        <w:t xml:space="preserve">captured under the </w:t>
      </w:r>
      <w:r w:rsidR="00231B3A">
        <w:t xml:space="preserve">GO scheme include combustion emissions </w:t>
      </w:r>
      <w:r w:rsidR="007F1905">
        <w:t xml:space="preserve">and accrued emissions events which include </w:t>
      </w:r>
      <w:r w:rsidR="00231B3A">
        <w:t xml:space="preserve">fugitive emissions and industrial process emission. </w:t>
      </w:r>
      <w:r w:rsidR="00377434">
        <w:t>The proposed approach to reporting these emissions is detailed below.</w:t>
      </w:r>
    </w:p>
    <w:p w14:paraId="50C037B5" w14:textId="208675EE" w:rsidR="0004369E" w:rsidRDefault="00377434" w:rsidP="00377434">
      <w:pPr>
        <w:pStyle w:val="Heading4"/>
      </w:pPr>
      <w:r>
        <w:t xml:space="preserve">Combustion emissions </w:t>
      </w:r>
    </w:p>
    <w:p w14:paraId="5875328E" w14:textId="1453DEF8" w:rsidR="006433EC" w:rsidRDefault="00377434" w:rsidP="00A422C3">
      <w:r>
        <w:t xml:space="preserve">The combustion emissions </w:t>
      </w:r>
      <w:r w:rsidR="004502BF">
        <w:t xml:space="preserve">are produced from the combustion of solid, liquid, and/or gaseous fuels. The </w:t>
      </w:r>
      <w:r w:rsidR="00687D54">
        <w:t xml:space="preserve">emissions associated with the relevant quantity of all fuels combusted within the </w:t>
      </w:r>
      <w:r w:rsidR="00080AC2">
        <w:t>production boundary</w:t>
      </w:r>
      <w:r w:rsidR="00687D54">
        <w:t xml:space="preserve"> must be included. </w:t>
      </w:r>
      <w:r w:rsidR="00A67175">
        <w:t xml:space="preserve">This includes fuel combustion for </w:t>
      </w:r>
      <w:r w:rsidR="00A422C3">
        <w:t xml:space="preserve">all purposes, including stationary purposes, transport purposes, electricity generation and steam generation. </w:t>
      </w:r>
    </w:p>
    <w:p w14:paraId="37F21C73" w14:textId="465071D7" w:rsidR="00377434" w:rsidRDefault="00930A93" w:rsidP="00155283">
      <w:r>
        <w:t xml:space="preserve">There are two proposed approaches to </w:t>
      </w:r>
      <w:r w:rsidR="00FA3F00">
        <w:t xml:space="preserve">calculating the direct emissions associated with combustion. These are either through a </w:t>
      </w:r>
      <w:r w:rsidR="00007505">
        <w:t>default factor estimation method</w:t>
      </w:r>
      <w:r w:rsidR="002A7BB6">
        <w:t>,</w:t>
      </w:r>
      <w:r w:rsidR="00007505">
        <w:t xml:space="preserve"> similar to the upstream emissions approach discussed above, or through the direct measurement approach.</w:t>
      </w:r>
    </w:p>
    <w:p w14:paraId="15ACDF7B" w14:textId="34A063ED" w:rsidR="00D60E70" w:rsidRDefault="00D60E70" w:rsidP="00155283">
      <w:r w:rsidRPr="00D60E70">
        <w:t>This categorisation is slightly different to that required by NGER, in the case of steam generation being called out separately here, while it is combined under stationary purposes in NGER. This is specifically called out to facilitate co-product allocation in the case where steam is exported.</w:t>
      </w:r>
    </w:p>
    <w:p w14:paraId="44EB32DF" w14:textId="633AEA1C" w:rsidR="0055368B" w:rsidRDefault="0055368B" w:rsidP="002256EA">
      <w:pPr>
        <w:pStyle w:val="Calloutbox"/>
        <w:spacing w:after="120"/>
        <w:contextualSpacing w:val="0"/>
        <w:rPr>
          <w:b/>
          <w:bCs/>
        </w:rPr>
      </w:pPr>
      <w:r>
        <w:rPr>
          <w:b/>
          <w:bCs/>
        </w:rPr>
        <w:t xml:space="preserve">GO Calculator user guide – </w:t>
      </w:r>
      <w:r w:rsidR="00916FD4">
        <w:rPr>
          <w:b/>
          <w:bCs/>
        </w:rPr>
        <w:t xml:space="preserve">Inputting </w:t>
      </w:r>
      <w:r>
        <w:rPr>
          <w:b/>
          <w:bCs/>
        </w:rPr>
        <w:t xml:space="preserve">combustion emissions </w:t>
      </w:r>
    </w:p>
    <w:p w14:paraId="1D4FF5B6" w14:textId="7B5CDD75" w:rsidR="00B83C78" w:rsidRDefault="0055368B" w:rsidP="002256EA">
      <w:pPr>
        <w:pStyle w:val="Calloutbox"/>
        <w:spacing w:after="120"/>
        <w:contextualSpacing w:val="0"/>
      </w:pPr>
      <w:r>
        <w:t xml:space="preserve">The </w:t>
      </w:r>
      <w:r w:rsidR="00D9210D">
        <w:t xml:space="preserve">GO Calculator </w:t>
      </w:r>
      <w:r w:rsidR="00EB1DDE">
        <w:t xml:space="preserve">provides two options </w:t>
      </w:r>
      <w:r w:rsidR="00B7718B">
        <w:t xml:space="preserve">for </w:t>
      </w:r>
      <w:r w:rsidR="00D9210D">
        <w:t>calculat</w:t>
      </w:r>
      <w:r w:rsidR="00B7718B">
        <w:t>ing</w:t>
      </w:r>
      <w:r w:rsidR="00D9210D">
        <w:t xml:space="preserve"> combustion emissions </w:t>
      </w:r>
      <w:r w:rsidR="00EA705A">
        <w:t>in various sections.</w:t>
      </w:r>
    </w:p>
    <w:p w14:paraId="420D3F70" w14:textId="4BE959D8" w:rsidR="00B83C78" w:rsidRPr="00C951C7" w:rsidRDefault="00F662BD" w:rsidP="002256EA">
      <w:pPr>
        <w:pStyle w:val="Calloutbox"/>
        <w:spacing w:after="120"/>
        <w:contextualSpacing w:val="0"/>
        <w:rPr>
          <w:u w:val="single"/>
        </w:rPr>
      </w:pPr>
      <w:r>
        <w:rPr>
          <w:u w:val="single"/>
        </w:rPr>
        <w:t>Emissions</w:t>
      </w:r>
      <w:r w:rsidRPr="00C951C7">
        <w:rPr>
          <w:u w:val="single"/>
        </w:rPr>
        <w:t xml:space="preserve"> </w:t>
      </w:r>
      <w:r w:rsidR="00B83C78" w:rsidRPr="00C951C7">
        <w:rPr>
          <w:u w:val="single"/>
        </w:rPr>
        <w:t xml:space="preserve">factor method </w:t>
      </w:r>
    </w:p>
    <w:p w14:paraId="251C1BEA" w14:textId="52E895BD" w:rsidR="0055368B" w:rsidRDefault="002B68CE" w:rsidP="002256EA">
      <w:pPr>
        <w:pStyle w:val="Calloutbox"/>
        <w:spacing w:after="120"/>
        <w:contextualSpacing w:val="0"/>
      </w:pPr>
      <w:r>
        <w:t xml:space="preserve">The </w:t>
      </w:r>
      <w:r w:rsidR="00EF4758">
        <w:t xml:space="preserve">default factor method involves </w:t>
      </w:r>
      <w:r w:rsidR="00EE2B65">
        <w:t xml:space="preserve">providing </w:t>
      </w:r>
      <w:r>
        <w:t>inputs to calculate combustion emissions</w:t>
      </w:r>
      <w:r w:rsidR="00C951C7">
        <w:t xml:space="preserve"> </w:t>
      </w:r>
      <w:r w:rsidR="008D5BC5">
        <w:t xml:space="preserve">such as </w:t>
      </w:r>
      <w:r>
        <w:t>quantity of fuel,</w:t>
      </w:r>
      <w:r w:rsidR="00822EE4">
        <w:t xml:space="preserve"> </w:t>
      </w:r>
      <w:r w:rsidR="00110E1B">
        <w:t>bespoke</w:t>
      </w:r>
      <w:r>
        <w:t xml:space="preserve"> </w:t>
      </w:r>
      <w:r w:rsidR="00EA09F5">
        <w:t xml:space="preserve">emissions factors </w:t>
      </w:r>
      <w:r w:rsidR="00822EE4">
        <w:t xml:space="preserve">or information to </w:t>
      </w:r>
      <w:r w:rsidR="00ED0680">
        <w:t xml:space="preserve">identify appropriate default </w:t>
      </w:r>
      <w:r w:rsidR="00C447FB">
        <w:t xml:space="preserve">emissions factors. </w:t>
      </w:r>
    </w:p>
    <w:p w14:paraId="61ABF8B9" w14:textId="6AE7470D" w:rsidR="00EA705A" w:rsidRDefault="00F57DB9" w:rsidP="002256EA">
      <w:pPr>
        <w:pStyle w:val="Calloutbox"/>
        <w:spacing w:after="120"/>
        <w:contextualSpacing w:val="0"/>
      </w:pPr>
      <w:r>
        <w:t xml:space="preserve">Combustion emissions related to electricity generation can be calculated </w:t>
      </w:r>
      <w:r w:rsidR="00381E0F">
        <w:t xml:space="preserve">using the </w:t>
      </w:r>
      <w:r w:rsidR="00BF0698">
        <w:t xml:space="preserve">default factor method in </w:t>
      </w:r>
      <w:r w:rsidR="00BF0698" w:rsidRPr="00F4583F">
        <w:rPr>
          <w:i/>
          <w:iCs/>
        </w:rPr>
        <w:t xml:space="preserve">the </w:t>
      </w:r>
      <w:r w:rsidR="00F4583F" w:rsidRPr="00F4583F">
        <w:rPr>
          <w:i/>
          <w:iCs/>
        </w:rPr>
        <w:t>ELECTRICITY GENERATION VIA FUEL COMBUSTION</w:t>
      </w:r>
      <w:r w:rsidR="00F4583F">
        <w:t xml:space="preserve"> and </w:t>
      </w:r>
      <w:r w:rsidR="00F4583F" w:rsidRPr="00F4583F">
        <w:rPr>
          <w:i/>
          <w:iCs/>
        </w:rPr>
        <w:t xml:space="preserve">ELECTRICITY GENERATION VIA </w:t>
      </w:r>
      <w:r w:rsidR="00A52481">
        <w:rPr>
          <w:i/>
          <w:iCs/>
        </w:rPr>
        <w:t>COMBINED HEAT AND POWER (</w:t>
      </w:r>
      <w:r w:rsidR="00F4583F" w:rsidRPr="00F4583F">
        <w:rPr>
          <w:i/>
          <w:iCs/>
        </w:rPr>
        <w:t>CHP</w:t>
      </w:r>
      <w:r w:rsidR="00A52481">
        <w:rPr>
          <w:i/>
          <w:iCs/>
        </w:rPr>
        <w:t>)</w:t>
      </w:r>
      <w:r w:rsidR="00F4583F">
        <w:t xml:space="preserve"> sections of the “Electricity Usage” tab. </w:t>
      </w:r>
    </w:p>
    <w:p w14:paraId="1D5B4AE5" w14:textId="7A85C3E8" w:rsidR="00E16999" w:rsidRDefault="008B268F" w:rsidP="00E16999">
      <w:pPr>
        <w:pStyle w:val="Calloutbox"/>
        <w:spacing w:after="120"/>
        <w:contextualSpacing w:val="0"/>
      </w:pPr>
      <w:r>
        <w:t xml:space="preserve">Combustion emissions </w:t>
      </w:r>
      <w:r w:rsidR="00345264">
        <w:t xml:space="preserve">other than those for electricity generation </w:t>
      </w:r>
      <w:r>
        <w:t xml:space="preserve">can be calculated using the default factor method in the </w:t>
      </w:r>
      <w:r w:rsidR="00445B7A" w:rsidRPr="007E5372">
        <w:rPr>
          <w:i/>
          <w:iCs/>
        </w:rPr>
        <w:t>COMBUSTION FUEL</w:t>
      </w:r>
      <w:r w:rsidR="00345264">
        <w:rPr>
          <w:i/>
          <w:iCs/>
        </w:rPr>
        <w:t xml:space="preserve"> CONSUMPTION </w:t>
      </w:r>
      <w:r w:rsidR="00E16999">
        <w:t xml:space="preserve">sections of the production pathway tabs. </w:t>
      </w:r>
    </w:p>
    <w:p w14:paraId="309E1C1F" w14:textId="6596DB22" w:rsidR="00C951C7" w:rsidRPr="00C951C7" w:rsidRDefault="00C951C7" w:rsidP="00E16999">
      <w:pPr>
        <w:pStyle w:val="Calloutbox"/>
        <w:spacing w:after="120"/>
        <w:contextualSpacing w:val="0"/>
        <w:rPr>
          <w:u w:val="single"/>
        </w:rPr>
      </w:pPr>
      <w:r>
        <w:rPr>
          <w:u w:val="single"/>
        </w:rPr>
        <w:t>Direct measurement method</w:t>
      </w:r>
    </w:p>
    <w:p w14:paraId="733F5866" w14:textId="3C507984" w:rsidR="00C979AE" w:rsidRDefault="0054184A" w:rsidP="000618B0">
      <w:pPr>
        <w:pStyle w:val="Calloutbox"/>
        <w:spacing w:after="120"/>
        <w:contextualSpacing w:val="0"/>
      </w:pPr>
      <w:r>
        <w:t xml:space="preserve">The direct measurement </w:t>
      </w:r>
      <w:r w:rsidR="00C67229">
        <w:t xml:space="preserve">method involves </w:t>
      </w:r>
      <w:r w:rsidR="0040280D">
        <w:t xml:space="preserve">providing information about </w:t>
      </w:r>
      <w:r w:rsidR="00197A16">
        <w:t xml:space="preserve">the quantity of emissions and units. </w:t>
      </w:r>
      <w:r w:rsidR="007E5372">
        <w:t xml:space="preserve">The direct measurement of combustion emissions can be reported in the </w:t>
      </w:r>
      <w:r w:rsidR="00B83C78" w:rsidRPr="00B83C78">
        <w:rPr>
          <w:i/>
          <w:iCs/>
        </w:rPr>
        <w:t>OTHER EMISSIONS</w:t>
      </w:r>
      <w:r w:rsidR="00B83C78">
        <w:rPr>
          <w:i/>
          <w:iCs/>
        </w:rPr>
        <w:t xml:space="preserve"> </w:t>
      </w:r>
      <w:r w:rsidR="00B83C78">
        <w:t xml:space="preserve">section of the production pathway tabs. </w:t>
      </w:r>
    </w:p>
    <w:p w14:paraId="2148B6EA" w14:textId="7FC2A335" w:rsidR="00007505" w:rsidRPr="00F3462E" w:rsidRDefault="00007505" w:rsidP="00F3462E">
      <w:pPr>
        <w:keepNext/>
        <w:spacing w:before="240" w:after="120"/>
        <w:rPr>
          <w:b/>
          <w:bCs/>
        </w:rPr>
      </w:pPr>
      <w:r w:rsidRPr="00F3462E">
        <w:rPr>
          <w:b/>
          <w:bCs/>
        </w:rPr>
        <w:t>Default factor method</w:t>
      </w:r>
    </w:p>
    <w:p w14:paraId="7B107637" w14:textId="0953682C" w:rsidR="00324B27" w:rsidRDefault="00007505" w:rsidP="00155283">
      <w:r>
        <w:t>The</w:t>
      </w:r>
      <w:r w:rsidR="00324B27">
        <w:t xml:space="preserve"> </w:t>
      </w:r>
      <w:r>
        <w:t xml:space="preserve">default factor </w:t>
      </w:r>
      <w:r w:rsidR="00324B27">
        <w:t xml:space="preserve">method approach is to multiply the relevant quantity of the fuel by an appropriate default factor to determine the total kilograms of carbon dioxide associated with combustion. Similar to the upstream emissions approach, this method will involve determining the relevant quantity of the </w:t>
      </w:r>
      <w:r w:rsidR="00A05579">
        <w:t>fuel</w:t>
      </w:r>
      <w:r w:rsidR="00324B27">
        <w:t xml:space="preserve"> after removing the quantity associated with non-attributable processes. The measurement guidance and default factors proposed for these direct emissions is provided in </w:t>
      </w:r>
      <w:r w:rsidR="005254D2">
        <w:fldChar w:fldCharType="begin"/>
      </w:r>
      <w:r w:rsidR="005254D2">
        <w:instrText xml:space="preserve"> REF _Ref130561849 \r \h </w:instrText>
      </w:r>
      <w:r w:rsidR="005254D2">
        <w:fldChar w:fldCharType="separate"/>
      </w:r>
      <w:r w:rsidR="00785FEC">
        <w:t>Part 4</w:t>
      </w:r>
      <w:r w:rsidR="005254D2">
        <w:fldChar w:fldCharType="end"/>
      </w:r>
      <w:r w:rsidR="00324B27">
        <w:t xml:space="preserve"> of this document. </w:t>
      </w:r>
    </w:p>
    <w:p w14:paraId="1999B542" w14:textId="0CE48C2E" w:rsidR="00324B27" w:rsidRDefault="00324B27" w:rsidP="00155283">
      <w:r>
        <w:t xml:space="preserve">A potential future expansion to this approach would be to develop guidelines to enable scheme participants to calculate more specific emissions factors. These </w:t>
      </w:r>
      <w:r w:rsidR="0055766F">
        <w:t xml:space="preserve">could be based on the NGER methods that already exist in the first instance, like the use of oxidation factors. However, this approach would require the Clean Energy Regulator to develop assessment methods to ensure </w:t>
      </w:r>
      <w:r w:rsidR="00B8719B">
        <w:t>that factors are appropriate</w:t>
      </w:r>
      <w:r w:rsidR="00EF1AE0">
        <w:t xml:space="preserve">. </w:t>
      </w:r>
    </w:p>
    <w:p w14:paraId="7848265B" w14:textId="72E13882" w:rsidR="00377434" w:rsidRDefault="00EF1AE0" w:rsidP="00155283">
      <w:r>
        <w:t xml:space="preserve">This potential expansion is likely to be </w:t>
      </w:r>
      <w:r w:rsidR="006E6706">
        <w:t xml:space="preserve">less </w:t>
      </w:r>
      <w:r>
        <w:t xml:space="preserve">material </w:t>
      </w:r>
      <w:r w:rsidR="00E91E22">
        <w:t xml:space="preserve">than </w:t>
      </w:r>
      <w:r>
        <w:t xml:space="preserve">upstream emissions factors because </w:t>
      </w:r>
      <w:r w:rsidR="00F92152">
        <w:t xml:space="preserve">variations in </w:t>
      </w:r>
      <w:r>
        <w:t xml:space="preserve">direct emissions are likely to be low – they primarily relate to direct combustion or release of GHGs, which are not variable. The upstream </w:t>
      </w:r>
      <w:r w:rsidR="00AE639B">
        <w:t xml:space="preserve">emissions factors </w:t>
      </w:r>
      <w:r>
        <w:t xml:space="preserve">are more complex because they need to reflect embedded emissions, which can vary significantly depending on what sources are or are not included. As such, enabling source specific direct emissions factors would be considered less critical than methods for upstream </w:t>
      </w:r>
      <w:r w:rsidR="00CA2C0B">
        <w:t>emissions factors</w:t>
      </w:r>
      <w:r>
        <w:t>.</w:t>
      </w:r>
    </w:p>
    <w:tbl>
      <w:tblPr>
        <w:tblStyle w:val="CERCallout"/>
        <w:tblpPr w:leftFromText="180" w:rightFromText="180" w:vertAnchor="text" w:tblpY="1"/>
        <w:tblOverlap w:val="never"/>
        <w:tblW w:w="5000" w:type="pct"/>
        <w:tblLook w:val="0480" w:firstRow="0" w:lastRow="0" w:firstColumn="1" w:lastColumn="0" w:noHBand="0" w:noVBand="1"/>
        <w:tblCaption w:val="test"/>
        <w:tblDescription w:val="tesst"/>
      </w:tblPr>
      <w:tblGrid>
        <w:gridCol w:w="8996"/>
      </w:tblGrid>
      <w:tr w:rsidR="00EF1AE0" w14:paraId="65504D9C" w14:textId="77777777" w:rsidTr="0070603D">
        <w:trPr>
          <w:cantSplit w:val="0"/>
        </w:trPr>
        <w:tc>
          <w:tcPr>
            <w:tcW w:w="0" w:type="pct"/>
          </w:tcPr>
          <w:p w14:paraId="107D8C42" w14:textId="027E4204" w:rsidR="00EF1AE0" w:rsidRPr="00C209F1" w:rsidRDefault="00EF1AE0" w:rsidP="0041634C">
            <w:pPr>
              <w:pStyle w:val="Heading4"/>
              <w:numPr>
                <w:ilvl w:val="3"/>
                <w:numId w:val="0"/>
              </w:numPr>
              <w:spacing w:before="0" w:beforeAutospacing="0" w:after="160"/>
              <w:rPr>
                <w:b/>
                <w:bCs/>
                <w:i w:val="0"/>
                <w:iCs/>
              </w:rPr>
            </w:pPr>
            <w:bookmarkStart w:id="146" w:name="_Hlk135240345"/>
            <w:r>
              <w:rPr>
                <w:b/>
                <w:bCs/>
                <w:i w:val="0"/>
                <w:iCs/>
              </w:rPr>
              <w:t xml:space="preserve">Default factor method </w:t>
            </w:r>
            <w:r w:rsidR="006345ED">
              <w:rPr>
                <w:b/>
                <w:bCs/>
                <w:i w:val="0"/>
                <w:iCs/>
              </w:rPr>
              <w:t xml:space="preserve">for direct emissions </w:t>
            </w:r>
            <w:r>
              <w:rPr>
                <w:b/>
                <w:bCs/>
                <w:i w:val="0"/>
                <w:iCs/>
              </w:rPr>
              <w:t>in practice</w:t>
            </w:r>
          </w:p>
          <w:p w14:paraId="092159BA" w14:textId="77EB9486" w:rsidR="00EF1AE0" w:rsidRDefault="000E76F5" w:rsidP="0041634C">
            <w:pPr>
              <w:spacing w:before="0" w:beforeAutospacing="0" w:after="160"/>
            </w:pPr>
            <w:r>
              <w:t xml:space="preserve">Continuing on with the example for upstream emissions, </w:t>
            </w:r>
            <w:r w:rsidR="00681EEC">
              <w:t xml:space="preserve">Facility A is located in </w:t>
            </w:r>
            <w:r>
              <w:t xml:space="preserve">non-metro Victoria and consumed 100 gigajoules of natural gas. Of this amount only 90 gigajoules is relevant to the </w:t>
            </w:r>
            <w:r w:rsidR="00080AC2">
              <w:t>production boundary</w:t>
            </w:r>
            <w:r>
              <w:t xml:space="preserve"> with 10 gigajoules being associated with non-attributable processes.</w:t>
            </w:r>
          </w:p>
          <w:p w14:paraId="49CB04B1" w14:textId="646AE671" w:rsidR="000E76F5" w:rsidRDefault="000E76F5" w:rsidP="0041634C">
            <w:pPr>
              <w:spacing w:before="0" w:beforeAutospacing="0" w:after="160"/>
            </w:pPr>
            <w:r>
              <w:t xml:space="preserve">The proposed approach to recognising </w:t>
            </w:r>
            <w:r w:rsidR="00934A86">
              <w:t>direct</w:t>
            </w:r>
            <w:r>
              <w:t xml:space="preserve"> emissions in practice will follow the equation below:</w:t>
            </w:r>
          </w:p>
          <w:p w14:paraId="0C7FD03F" w14:textId="3BB1C6A8" w:rsidR="000E76F5" w:rsidRPr="008732B9" w:rsidRDefault="00015FB3" w:rsidP="0041634C">
            <w:pPr>
              <w:spacing w:before="0" w:beforeAutospacing="0" w:after="160"/>
              <w:jc w:val="center"/>
              <w:rPr>
                <w:rFonts w:eastAsiaTheme="minorEastAsia"/>
                <w:b/>
              </w:rPr>
            </w:pPr>
            <m:oMathPara>
              <m:oMath>
                <m:r>
                  <m:rPr>
                    <m:sty m:val="bi"/>
                  </m:rPr>
                  <w:rPr>
                    <w:rFonts w:ascii="Cambria Math" w:hAnsi="Cambria Math"/>
                  </w:rPr>
                  <m:t>E</m:t>
                </m:r>
                <m:sSub>
                  <m:sSubPr>
                    <m:ctrlPr>
                      <w:rPr>
                        <w:rFonts w:ascii="Cambria Math" w:hAnsi="Cambria Math"/>
                        <w:b/>
                        <w:bCs/>
                        <w:i/>
                      </w:rPr>
                    </m:ctrlPr>
                  </m:sSubPr>
                  <m:e>
                    <m:r>
                      <m:rPr>
                        <m:sty m:val="p"/>
                      </m:rPr>
                      <w:rPr>
                        <w:rFonts w:ascii="Cambria Math" w:hAnsi="Cambria Math"/>
                      </w:rPr>
                      <w:softHyphen/>
                    </m:r>
                  </m:e>
                  <m:sub>
                    <m:r>
                      <m:rPr>
                        <m:sty m:val="bi"/>
                      </m:rPr>
                      <w:rPr>
                        <w:rFonts w:ascii="Cambria Math" w:hAnsi="Cambria Math"/>
                      </w:rPr>
                      <m:t>direct, i</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i</m:t>
                    </m:r>
                  </m:sub>
                </m:sSub>
                <m:r>
                  <m:rPr>
                    <m:sty m:val="bi"/>
                  </m:rPr>
                  <w:rPr>
                    <w:rFonts w:ascii="Cambria Math" w:hAnsi="Cambria Math"/>
                  </w:rPr>
                  <m:t>×E</m:t>
                </m:r>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direct, i</m:t>
                    </m:r>
                  </m:sub>
                </m:sSub>
              </m:oMath>
            </m:oMathPara>
          </w:p>
          <w:p w14:paraId="1E64C17A" w14:textId="77777777" w:rsidR="000E76F5" w:rsidRDefault="000E76F5" w:rsidP="0041634C">
            <w:pPr>
              <w:spacing w:before="0" w:beforeAutospacing="0" w:after="160"/>
              <w:rPr>
                <w:rFonts w:eastAsiaTheme="minorEastAsia"/>
              </w:rPr>
            </w:pPr>
            <w:r>
              <w:rPr>
                <w:rFonts w:eastAsiaTheme="minorEastAsia"/>
              </w:rPr>
              <w:t>Where:</w:t>
            </w:r>
          </w:p>
          <w:p w14:paraId="1A5F2ED4" w14:textId="27BB266C" w:rsidR="000E76F5" w:rsidRDefault="00785FEC" w:rsidP="0041634C">
            <w:pPr>
              <w:spacing w:before="0" w:beforeAutospacing="0" w:after="160"/>
              <w:rPr>
                <w:rFonts w:eastAsiaTheme="minorEastAsia"/>
              </w:rPr>
            </w:pPr>
            <m:oMath>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i</m:t>
                  </m:r>
                </m:sub>
              </m:sSub>
            </m:oMath>
            <w:r w:rsidR="000E76F5">
              <w:rPr>
                <w:rFonts w:eastAsiaTheme="minorEastAsia"/>
              </w:rPr>
              <w:t xml:space="preserve"> is the quantity of input i consumed within the </w:t>
            </w:r>
            <w:r w:rsidR="00080AC2">
              <w:rPr>
                <w:rFonts w:eastAsiaTheme="minorEastAsia"/>
              </w:rPr>
              <w:t>production boundary</w:t>
            </w:r>
            <w:r w:rsidR="000E76F5">
              <w:rPr>
                <w:rFonts w:eastAsiaTheme="minorEastAsia"/>
              </w:rPr>
              <w:t xml:space="preserve">. </w:t>
            </w:r>
          </w:p>
          <w:p w14:paraId="4CAC9538" w14:textId="38A6B6B7" w:rsidR="000E76F5" w:rsidRDefault="00382DCD" w:rsidP="0041634C">
            <w:pPr>
              <w:spacing w:before="0" w:beforeAutospacing="0" w:after="160"/>
              <w:rPr>
                <w:rFonts w:eastAsiaTheme="minorEastAsia"/>
              </w:rPr>
            </w:pPr>
            <m:oMath>
              <m:r>
                <m:rPr>
                  <m:sty m:val="bi"/>
                </m:rPr>
                <w:rPr>
                  <w:rFonts w:ascii="Cambria Math" w:hAnsi="Cambria Math"/>
                </w:rPr>
                <m:t>E</m:t>
              </m:r>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direct, i</m:t>
                  </m:r>
                </m:sub>
              </m:sSub>
            </m:oMath>
            <w:r w:rsidR="000E76F5" w:rsidRPr="00382DCD">
              <w:rPr>
                <w:rFonts w:eastAsiaTheme="minorEastAsia"/>
                <w:b/>
                <w:bCs/>
              </w:rPr>
              <w:t xml:space="preserve"> </w:t>
            </w:r>
            <w:r w:rsidR="000E76F5">
              <w:rPr>
                <w:rFonts w:eastAsiaTheme="minorEastAsia"/>
              </w:rPr>
              <w:t xml:space="preserve">is the direct emissions factor associated with input </w:t>
            </w:r>
            <w:proofErr w:type="spellStart"/>
            <w:r w:rsidR="000E76F5">
              <w:rPr>
                <w:rFonts w:eastAsiaTheme="minorEastAsia"/>
              </w:rPr>
              <w:t>i</w:t>
            </w:r>
            <w:proofErr w:type="spellEnd"/>
            <w:r w:rsidR="000E76F5">
              <w:rPr>
                <w:rFonts w:eastAsiaTheme="minorEastAsia"/>
              </w:rPr>
              <w:t xml:space="preserve">. The emissions factor is reported in terms of kilograms of carbon dioxide equivalent per functional unit used in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rsidR="000E76F5">
              <w:rPr>
                <w:rFonts w:eastAsiaTheme="minorEastAsia"/>
              </w:rPr>
              <w:t>.</w:t>
            </w:r>
          </w:p>
          <w:p w14:paraId="0F06D161" w14:textId="4FBD828D" w:rsidR="000E76F5" w:rsidRDefault="000E76F5" w:rsidP="0041634C">
            <w:pPr>
              <w:spacing w:before="0" w:beforeAutospacing="0" w:after="160"/>
              <w:rPr>
                <w:rFonts w:eastAsiaTheme="minorEastAsia"/>
              </w:rPr>
            </w:pPr>
            <w:r>
              <w:rPr>
                <w:rFonts w:eastAsiaTheme="minorEastAsia"/>
              </w:rPr>
              <w:t xml:space="preserve">Using the example above, the relevant quantity is again 90 gigajoules while the </w:t>
            </w:r>
            <w:r w:rsidR="00AE600B">
              <w:rPr>
                <w:rFonts w:eastAsiaTheme="minorEastAsia"/>
              </w:rPr>
              <w:t xml:space="preserve">direct </w:t>
            </w:r>
            <w:r>
              <w:rPr>
                <w:rFonts w:eastAsiaTheme="minorEastAsia"/>
              </w:rPr>
              <w:t xml:space="preserve">emissions factor sourced in accordance with </w:t>
            </w:r>
            <w:r w:rsidR="005027B1">
              <w:rPr>
                <w:rFonts w:eastAsiaTheme="minorEastAsia"/>
              </w:rPr>
              <w:fldChar w:fldCharType="begin"/>
            </w:r>
            <w:r w:rsidR="005027B1">
              <w:rPr>
                <w:rFonts w:eastAsiaTheme="minorEastAsia"/>
              </w:rPr>
              <w:instrText xml:space="preserve"> REF _Ref130561849 \r \h </w:instrText>
            </w:r>
            <w:r w:rsidR="005027B1">
              <w:rPr>
                <w:rFonts w:eastAsiaTheme="minorEastAsia"/>
              </w:rPr>
            </w:r>
            <w:r w:rsidR="005027B1">
              <w:rPr>
                <w:rFonts w:eastAsiaTheme="minorEastAsia"/>
              </w:rPr>
              <w:fldChar w:fldCharType="separate"/>
            </w:r>
            <w:r w:rsidR="00785FEC">
              <w:rPr>
                <w:rFonts w:eastAsiaTheme="minorEastAsia"/>
              </w:rPr>
              <w:t>Part 4</w:t>
            </w:r>
            <w:r w:rsidR="005027B1">
              <w:rPr>
                <w:rFonts w:eastAsiaTheme="minorEastAsia"/>
              </w:rPr>
              <w:fldChar w:fldCharType="end"/>
            </w:r>
            <w:r>
              <w:rPr>
                <w:rFonts w:eastAsiaTheme="minorEastAsia"/>
              </w:rPr>
              <w:t xml:space="preserve"> of this paper is 51.53</w:t>
            </w:r>
            <w:r w:rsidR="006D6269">
              <w:rPr>
                <w:rFonts w:eastAsiaTheme="minorEastAsia"/>
              </w:rPr>
              <w:t xml:space="preserve"> </w:t>
            </w:r>
            <w:r w:rsidR="006D6269" w:rsidRPr="006D6269">
              <w:rPr>
                <w:bCs/>
              </w:rPr>
              <w:t>kg CO</w:t>
            </w:r>
            <w:r w:rsidR="006D6269" w:rsidRPr="006D6269">
              <w:rPr>
                <w:bCs/>
                <w:vertAlign w:val="subscript"/>
              </w:rPr>
              <w:t>2</w:t>
            </w:r>
            <w:r w:rsidR="006D6269" w:rsidRPr="006D6269">
              <w:rPr>
                <w:bCs/>
              </w:rPr>
              <w:t>-e/GJ natural gas</w:t>
            </w:r>
            <w:r w:rsidR="006A6E58">
              <w:rPr>
                <w:rFonts w:eastAsiaTheme="minorEastAsia"/>
              </w:rPr>
              <w:t xml:space="preserve">. Substituting into the equation above </w:t>
            </w:r>
            <w:r w:rsidR="00BE7B86">
              <w:rPr>
                <w:rFonts w:eastAsiaTheme="minorEastAsia"/>
              </w:rPr>
              <w:t xml:space="preserve">produces </w:t>
            </w:r>
            <w:r w:rsidR="006A6E58">
              <w:rPr>
                <w:rFonts w:eastAsiaTheme="minorEastAsia"/>
              </w:rPr>
              <w:t>the following:</w:t>
            </w:r>
          </w:p>
          <w:p w14:paraId="08AAFAA3" w14:textId="718B8460" w:rsidR="006A6E58" w:rsidRPr="008732B9" w:rsidRDefault="00015FB3" w:rsidP="0041634C">
            <w:pPr>
              <w:spacing w:before="0" w:beforeAutospacing="0" w:after="160"/>
              <w:jc w:val="center"/>
              <w:rPr>
                <w:rFonts w:eastAsiaTheme="minorEastAsia"/>
                <w:b/>
              </w:rPr>
            </w:pPr>
            <m:oMathPara>
              <m:oMath>
                <m:r>
                  <m:rPr>
                    <m:sty m:val="bi"/>
                  </m:rPr>
                  <w:rPr>
                    <w:rFonts w:ascii="Cambria Math" w:hAnsi="Cambria Math"/>
                  </w:rPr>
                  <m:t>4,637.7=90×51.53</m:t>
                </m:r>
              </m:oMath>
            </m:oMathPara>
          </w:p>
          <w:p w14:paraId="650AAB08" w14:textId="1C6626BF" w:rsidR="000E76F5" w:rsidRPr="00C962D7" w:rsidRDefault="00F40A24" w:rsidP="00C962D7">
            <w:pPr>
              <w:spacing w:before="0" w:beforeAutospacing="0" w:after="160"/>
              <w:rPr>
                <w:rFonts w:eastAsiaTheme="minorEastAsia"/>
              </w:rPr>
            </w:pPr>
            <w:r>
              <w:rPr>
                <w:rFonts w:eastAsiaTheme="minorEastAsia"/>
              </w:rPr>
              <w:t xml:space="preserve">This would mean that the total direct emissions attributable to the combustion of the natural gas within the </w:t>
            </w:r>
            <w:r w:rsidR="00080AC2">
              <w:rPr>
                <w:rFonts w:eastAsiaTheme="minorEastAsia"/>
              </w:rPr>
              <w:t>production boundary</w:t>
            </w:r>
            <w:r>
              <w:rPr>
                <w:rFonts w:eastAsiaTheme="minorEastAsia"/>
              </w:rPr>
              <w:t xml:space="preserve"> is 4,637.7 </w:t>
            </w:r>
            <w:r w:rsidR="00B85B35">
              <w:rPr>
                <w:rFonts w:eastAsiaTheme="minorEastAsia"/>
              </w:rPr>
              <w:t>kg CO</w:t>
            </w:r>
            <w:r w:rsidR="00B85B35">
              <w:rPr>
                <w:rFonts w:eastAsiaTheme="minorEastAsia"/>
                <w:vertAlign w:val="subscript"/>
              </w:rPr>
              <w:t>2</w:t>
            </w:r>
            <w:r w:rsidR="00B85B35">
              <w:rPr>
                <w:rFonts w:eastAsiaTheme="minorEastAsia"/>
              </w:rPr>
              <w:t>-e</w:t>
            </w:r>
            <w:r>
              <w:rPr>
                <w:rFonts w:eastAsiaTheme="minorEastAsia"/>
              </w:rPr>
              <w:t>.</w:t>
            </w:r>
            <w:r w:rsidDel="007B6E5F">
              <w:rPr>
                <w:rFonts w:eastAsiaTheme="minorEastAsia"/>
              </w:rPr>
              <w:t xml:space="preserve"> </w:t>
            </w:r>
          </w:p>
        </w:tc>
      </w:tr>
    </w:tbl>
    <w:bookmarkEnd w:id="146"/>
    <w:p w14:paraId="49DD9E1B" w14:textId="04088B5B" w:rsidR="001C4E9F" w:rsidRPr="00F3462E" w:rsidRDefault="001C4E9F" w:rsidP="00F3462E">
      <w:pPr>
        <w:keepNext/>
        <w:spacing w:before="240" w:after="120"/>
        <w:rPr>
          <w:b/>
          <w:bCs/>
        </w:rPr>
      </w:pPr>
      <w:r w:rsidRPr="00F3462E">
        <w:rPr>
          <w:b/>
          <w:bCs/>
        </w:rPr>
        <w:t>Direct measurement method</w:t>
      </w:r>
    </w:p>
    <w:p w14:paraId="188F7FA6" w14:textId="085A9205" w:rsidR="00EF1AE0" w:rsidRDefault="001C4E9F" w:rsidP="00155283">
      <w:pPr>
        <w:rPr>
          <w:rFonts w:eastAsiaTheme="minorEastAsia"/>
        </w:rPr>
      </w:pPr>
      <w:r>
        <w:t xml:space="preserve">The direct measurement method is applied where a scheme participant elects to meter the emissions from the combustion activity directly. The direct measurement </w:t>
      </w:r>
      <w:r w:rsidR="004039B6">
        <w:t xml:space="preserve">of emissions can either be done using continuous or periodic emissions monitoring in accordance with Part 1.3 of the </w:t>
      </w:r>
      <w:r w:rsidR="004039B6" w:rsidRPr="004039B6">
        <w:rPr>
          <w:i/>
          <w:iCs/>
        </w:rPr>
        <w:t xml:space="preserve">National Greenhouse and Energy Reporting </w:t>
      </w:r>
      <w:r w:rsidR="005372E5">
        <w:rPr>
          <w:i/>
          <w:iCs/>
        </w:rPr>
        <w:t xml:space="preserve">(Measurement) </w:t>
      </w:r>
      <w:r w:rsidR="004039B6" w:rsidRPr="004039B6">
        <w:rPr>
          <w:i/>
          <w:iCs/>
        </w:rPr>
        <w:t>Determination 2008</w:t>
      </w:r>
      <w:bookmarkStart w:id="147" w:name="_Ref142576756"/>
      <w:r w:rsidR="00B57DC8">
        <w:rPr>
          <w:rStyle w:val="FootnoteReference"/>
          <w:i/>
          <w:iCs/>
        </w:rPr>
        <w:footnoteReference w:id="3"/>
      </w:r>
      <w:bookmarkEnd w:id="147"/>
      <w:r w:rsidR="004039B6">
        <w:t>.</w:t>
      </w:r>
      <w:r w:rsidR="00F64E37">
        <w:t xml:space="preserve"> The emissions measured using this direct measurement approach must be reported in </w:t>
      </w:r>
      <w:r w:rsidR="00F64E37">
        <w:rPr>
          <w:rFonts w:eastAsiaTheme="minorEastAsia"/>
        </w:rPr>
        <w:t>kg CO</w:t>
      </w:r>
      <w:r w:rsidR="00F64E37">
        <w:rPr>
          <w:rFonts w:eastAsiaTheme="minorEastAsia"/>
          <w:vertAlign w:val="subscript"/>
        </w:rPr>
        <w:t>2</w:t>
      </w:r>
      <w:r w:rsidR="00F64E37">
        <w:rPr>
          <w:rFonts w:eastAsiaTheme="minorEastAsia"/>
        </w:rPr>
        <w:t>-e. This approach would require metering to be specified in the product</w:t>
      </w:r>
      <w:r w:rsidR="004951ED">
        <w:rPr>
          <w:rFonts w:eastAsiaTheme="minorEastAsia"/>
        </w:rPr>
        <w:t>ion</w:t>
      </w:r>
      <w:r w:rsidR="00F64E37">
        <w:rPr>
          <w:rFonts w:eastAsiaTheme="minorEastAsia"/>
        </w:rPr>
        <w:t xml:space="preserve"> profile, and the measured values would be required to be reported in each claim.</w:t>
      </w:r>
    </w:p>
    <w:p w14:paraId="75962476" w14:textId="072B93EE" w:rsidR="007F1905" w:rsidRDefault="007F1905" w:rsidP="007F1905">
      <w:pPr>
        <w:pStyle w:val="Heading4"/>
      </w:pPr>
      <w:bookmarkStart w:id="148" w:name="_Ref140522898"/>
      <w:r>
        <w:t xml:space="preserve">Accrued emissions </w:t>
      </w:r>
      <w:bookmarkEnd w:id="148"/>
    </w:p>
    <w:p w14:paraId="074E3182" w14:textId="2F8A4379" w:rsidR="009A48FF" w:rsidRDefault="009A48FF" w:rsidP="007F1905">
      <w:r>
        <w:t xml:space="preserve">Accrued emissions events are direct emissions that are incurred within the </w:t>
      </w:r>
      <w:r w:rsidR="00080AC2">
        <w:t>production boundary</w:t>
      </w:r>
      <w:r w:rsidR="00875F94">
        <w:t>. H</w:t>
      </w:r>
      <w:r>
        <w:t>owever</w:t>
      </w:r>
      <w:r w:rsidR="00875F94">
        <w:t>,</w:t>
      </w:r>
      <w:r>
        <w:t xml:space="preserve"> they are not ongoing and may occur on an inconsistent basis. These events include fugitive emissions, waste emissions and </w:t>
      </w:r>
      <w:r w:rsidR="32D84755">
        <w:t>industrial</w:t>
      </w:r>
      <w:r>
        <w:t xml:space="preserve"> process emissions. The emissions associated with these events are ‘accrued’ and reported over a period of production</w:t>
      </w:r>
      <w:r w:rsidR="00003411">
        <w:t>, which has been defined as the ‘accrual period’</w:t>
      </w:r>
      <w:r>
        <w:t>.</w:t>
      </w:r>
    </w:p>
    <w:p w14:paraId="7AA2563C" w14:textId="3A14FE7C" w:rsidR="007F1905" w:rsidRDefault="007F1905" w:rsidP="00C962D7">
      <w:bookmarkStart w:id="149" w:name="_Ref130896816"/>
      <w:r>
        <w:t>The total emissions from an accrued emissions event are worked out depending on the relevant emissions source – a list of reportable accrued emissions events, and their corresponding emissions sources and emissions estimation methods, is provided in</w:t>
      </w:r>
      <w:r w:rsidR="008941FC">
        <w:t xml:space="preserve"> Table 3.1</w:t>
      </w:r>
      <w:r>
        <w:t xml:space="preserve">. The accrued emissions are then added to total </w:t>
      </w:r>
      <w:r w:rsidR="005C6BC4">
        <w:t>well</w:t>
      </w:r>
      <w:r>
        <w:t>-to-</w:t>
      </w:r>
      <w:r w:rsidR="005C6BC4">
        <w:t xml:space="preserve">production </w:t>
      </w:r>
      <w:r>
        <w:t>gate batch emissions. The accru</w:t>
      </w:r>
      <w:r w:rsidR="002C478F">
        <w:t>al</w:t>
      </w:r>
      <w:r>
        <w:t xml:space="preserve"> period commences on the day the accrued emissions event is reported to the CER. Allocation occurs on a daily basis over the specified allocation period, discounting periods of non-production.</w:t>
      </w:r>
    </w:p>
    <w:p w14:paraId="032D3844" w14:textId="1553664D" w:rsidR="007F1905" w:rsidRDefault="007F1905" w:rsidP="007F1905">
      <w:r>
        <w:t>The following table sets out what is a reportable accrued emissions event, and the accrual period for each type of event.</w:t>
      </w:r>
      <w:r w:rsidR="00FC63E6">
        <w:t xml:space="preserve"> A</w:t>
      </w:r>
      <w:r>
        <w:t xml:space="preserve"> no-double-counting principle applies – if emissions from an event have been previously accounted for under another emissions source, emissions from that event should not be reported as an accrued emissions event.</w:t>
      </w:r>
    </w:p>
    <w:p w14:paraId="78D431E9" w14:textId="1D5DF06D" w:rsidR="007F1905" w:rsidRPr="00A07AEF" w:rsidRDefault="007F1905" w:rsidP="00621A7C">
      <w:pPr>
        <w:pStyle w:val="Table"/>
        <w:keepNext/>
        <w:spacing w:before="200"/>
      </w:pPr>
      <w:bookmarkStart w:id="150" w:name="_Ref130896943"/>
      <w:bookmarkStart w:id="151" w:name="_Toc130914115"/>
      <w:bookmarkStart w:id="152" w:name="_Toc130914686"/>
      <w:r>
        <w:t xml:space="preserve">Table </w:t>
      </w:r>
      <w:bookmarkEnd w:id="149"/>
      <w:bookmarkEnd w:id="150"/>
      <w:r w:rsidR="008941FC">
        <w:t>3.1</w:t>
      </w:r>
      <w:r>
        <w:t xml:space="preserve"> Accrued emissions measurement</w:t>
      </w:r>
      <w:bookmarkEnd w:id="151"/>
      <w:bookmarkEnd w:id="152"/>
    </w:p>
    <w:tbl>
      <w:tblPr>
        <w:tblStyle w:val="PlainTable1"/>
        <w:tblW w:w="5000" w:type="pct"/>
        <w:tblLook w:val="04A0" w:firstRow="1" w:lastRow="0" w:firstColumn="1" w:lastColumn="0" w:noHBand="0" w:noVBand="1"/>
      </w:tblPr>
      <w:tblGrid>
        <w:gridCol w:w="2262"/>
        <w:gridCol w:w="2411"/>
        <w:gridCol w:w="1984"/>
        <w:gridCol w:w="2359"/>
      </w:tblGrid>
      <w:tr w:rsidR="007F1905" w:rsidRPr="00D63B1E" w14:paraId="4F5E3D8D" w14:textId="77777777" w:rsidTr="00FD3F4D">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55" w:type="pct"/>
            <w:shd w:val="clear" w:color="auto" w:fill="AEAAAA" w:themeFill="background2" w:themeFillShade="BF"/>
            <w:vAlign w:val="center"/>
          </w:tcPr>
          <w:p w14:paraId="7F8BB419" w14:textId="77777777" w:rsidR="007F1905" w:rsidRPr="00D63B1E" w:rsidRDefault="007F1905" w:rsidP="00C474EF">
            <w:pPr>
              <w:jc w:val="center"/>
            </w:pPr>
            <w:r w:rsidRPr="00D63B1E">
              <w:t>Accrued emissions event type</w:t>
            </w:r>
          </w:p>
        </w:tc>
        <w:tc>
          <w:tcPr>
            <w:tcW w:w="1337" w:type="pct"/>
            <w:shd w:val="clear" w:color="auto" w:fill="AEAAAA" w:themeFill="background2" w:themeFillShade="BF"/>
            <w:vAlign w:val="center"/>
          </w:tcPr>
          <w:p w14:paraId="2D892EF9" w14:textId="77777777" w:rsidR="007F1905" w:rsidRPr="00D63B1E" w:rsidRDefault="007F1905" w:rsidP="00C474EF">
            <w:pPr>
              <w:jc w:val="center"/>
              <w:cnfStyle w:val="100000000000" w:firstRow="1" w:lastRow="0" w:firstColumn="0" w:lastColumn="0" w:oddVBand="0" w:evenVBand="0" w:oddHBand="0" w:evenHBand="0" w:firstRowFirstColumn="0" w:firstRowLastColumn="0" w:lastRowFirstColumn="0" w:lastRowLastColumn="0"/>
            </w:pPr>
            <w:r w:rsidRPr="00D63B1E">
              <w:t>Emission sources</w:t>
            </w:r>
          </w:p>
        </w:tc>
        <w:tc>
          <w:tcPr>
            <w:tcW w:w="1100" w:type="pct"/>
            <w:shd w:val="clear" w:color="auto" w:fill="AEAAAA" w:themeFill="background2" w:themeFillShade="BF"/>
            <w:vAlign w:val="center"/>
          </w:tcPr>
          <w:p w14:paraId="02DBE518" w14:textId="77777777" w:rsidR="007F1905" w:rsidRPr="00D63B1E" w:rsidRDefault="007F1905" w:rsidP="00C474EF">
            <w:pPr>
              <w:jc w:val="center"/>
              <w:cnfStyle w:val="100000000000" w:firstRow="1" w:lastRow="0" w:firstColumn="0" w:lastColumn="0" w:oddVBand="0" w:evenVBand="0" w:oddHBand="0" w:evenHBand="0" w:firstRowFirstColumn="0" w:firstRowLastColumn="0" w:lastRowFirstColumn="0" w:lastRowLastColumn="0"/>
            </w:pPr>
            <w:r w:rsidRPr="00D63B1E">
              <w:t>Emissions estimation method</w:t>
            </w:r>
          </w:p>
        </w:tc>
        <w:tc>
          <w:tcPr>
            <w:tcW w:w="1308" w:type="pct"/>
            <w:shd w:val="clear" w:color="auto" w:fill="AEAAAA" w:themeFill="background2" w:themeFillShade="BF"/>
            <w:vAlign w:val="center"/>
          </w:tcPr>
          <w:p w14:paraId="48F08D01" w14:textId="77777777" w:rsidR="007F1905" w:rsidRPr="00D63B1E" w:rsidRDefault="007F1905" w:rsidP="00C474EF">
            <w:pPr>
              <w:jc w:val="center"/>
              <w:cnfStyle w:val="100000000000" w:firstRow="1" w:lastRow="0" w:firstColumn="0" w:lastColumn="0" w:oddVBand="0" w:evenVBand="0" w:oddHBand="0" w:evenHBand="0" w:firstRowFirstColumn="0" w:firstRowLastColumn="0" w:lastRowFirstColumn="0" w:lastRowLastColumn="0"/>
            </w:pPr>
            <w:r w:rsidRPr="00D63B1E">
              <w:t>Accrual period (</w:t>
            </w:r>
            <w:proofErr w:type="spellStart"/>
            <w:r w:rsidRPr="00D63B1E">
              <w:rPr>
                <w:i/>
              </w:rPr>
              <w:t>AP</w:t>
            </w:r>
            <w:r w:rsidRPr="00D63B1E">
              <w:rPr>
                <w:i/>
                <w:vertAlign w:val="subscript"/>
              </w:rPr>
              <w:t>j</w:t>
            </w:r>
            <w:proofErr w:type="spellEnd"/>
            <w:r w:rsidRPr="00D63B1E">
              <w:t>)</w:t>
            </w:r>
          </w:p>
        </w:tc>
      </w:tr>
      <w:tr w:rsidR="007F1905" w14:paraId="558B5CC8" w14:textId="77777777" w:rsidTr="00FD3F4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55" w:type="pct"/>
            <w:vAlign w:val="center"/>
          </w:tcPr>
          <w:p w14:paraId="6D6C2110" w14:textId="77777777" w:rsidR="007F1905" w:rsidRDefault="007F1905" w:rsidP="00FD3F4D">
            <w:r>
              <w:t>Reportable venting event</w:t>
            </w:r>
          </w:p>
        </w:tc>
        <w:tc>
          <w:tcPr>
            <w:tcW w:w="1337" w:type="pct"/>
            <w:vAlign w:val="center"/>
          </w:tcPr>
          <w:p w14:paraId="683D50A8" w14:textId="77777777" w:rsidR="007F1905" w:rsidRDefault="007F1905" w:rsidP="00FD3F4D">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Fugitive emissions</w:t>
            </w:r>
          </w:p>
        </w:tc>
        <w:tc>
          <w:tcPr>
            <w:tcW w:w="1100" w:type="pct"/>
            <w:vAlign w:val="center"/>
          </w:tcPr>
          <w:p w14:paraId="134C21F6" w14:textId="77777777" w:rsidR="007F1905" w:rsidRDefault="007F1905" w:rsidP="00FD3F4D">
            <w:pPr>
              <w:cnfStyle w:val="000000100000" w:firstRow="0" w:lastRow="0" w:firstColumn="0" w:lastColumn="0" w:oddVBand="0" w:evenVBand="0" w:oddHBand="1" w:evenHBand="0" w:firstRowFirstColumn="0" w:firstRowLastColumn="0" w:lastRowFirstColumn="0" w:lastRowLastColumn="0"/>
            </w:pPr>
            <w:r>
              <w:t>Direct emissions</w:t>
            </w:r>
          </w:p>
        </w:tc>
        <w:tc>
          <w:tcPr>
            <w:tcW w:w="1308" w:type="pct"/>
            <w:vAlign w:val="center"/>
          </w:tcPr>
          <w:p w14:paraId="6ABFA78B" w14:textId="244A8654" w:rsidR="007F1905" w:rsidRDefault="007F1905" w:rsidP="00FD3F4D">
            <w:pPr>
              <w:cnfStyle w:val="000000100000" w:firstRow="0" w:lastRow="0" w:firstColumn="0" w:lastColumn="0" w:oddVBand="0" w:evenVBand="0" w:oddHBand="1" w:evenHBand="0" w:firstRowFirstColumn="0" w:firstRowLastColumn="0" w:lastRowFirstColumn="0" w:lastRowLastColumn="0"/>
            </w:pPr>
            <w:r>
              <w:t>30 days</w:t>
            </w:r>
          </w:p>
        </w:tc>
      </w:tr>
      <w:tr w:rsidR="007F1905" w14:paraId="75CCD751" w14:textId="77777777" w:rsidTr="00FD3F4D">
        <w:trPr>
          <w:trHeight w:val="624"/>
        </w:trPr>
        <w:tc>
          <w:tcPr>
            <w:cnfStyle w:val="001000000000" w:firstRow="0" w:lastRow="0" w:firstColumn="1" w:lastColumn="0" w:oddVBand="0" w:evenVBand="0" w:oddHBand="0" w:evenHBand="0" w:firstRowFirstColumn="0" w:firstRowLastColumn="0" w:lastRowFirstColumn="0" w:lastRowLastColumn="0"/>
            <w:tcW w:w="1255" w:type="pct"/>
            <w:vAlign w:val="center"/>
          </w:tcPr>
          <w:p w14:paraId="5E7343F7" w14:textId="77777777" w:rsidR="007F1905" w:rsidRDefault="007F1905" w:rsidP="00FD3F4D">
            <w:r>
              <w:t>Reportable flaring event</w:t>
            </w:r>
          </w:p>
        </w:tc>
        <w:tc>
          <w:tcPr>
            <w:tcW w:w="1337" w:type="pct"/>
            <w:vAlign w:val="center"/>
          </w:tcPr>
          <w:p w14:paraId="0703365F" w14:textId="77777777" w:rsidR="007F1905" w:rsidRDefault="007F1905" w:rsidP="00FD3F4D">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Fugitive emissions</w:t>
            </w:r>
          </w:p>
        </w:tc>
        <w:tc>
          <w:tcPr>
            <w:tcW w:w="1100" w:type="pct"/>
            <w:vAlign w:val="center"/>
          </w:tcPr>
          <w:p w14:paraId="2149939C" w14:textId="77777777" w:rsidR="007F1905" w:rsidRDefault="007F1905" w:rsidP="00FD3F4D">
            <w:pPr>
              <w:cnfStyle w:val="000000000000" w:firstRow="0" w:lastRow="0" w:firstColumn="0" w:lastColumn="0" w:oddVBand="0" w:evenVBand="0" w:oddHBand="0" w:evenHBand="0" w:firstRowFirstColumn="0" w:firstRowLastColumn="0" w:lastRowFirstColumn="0" w:lastRowLastColumn="0"/>
            </w:pPr>
            <w:r>
              <w:t>Direct emissions</w:t>
            </w:r>
          </w:p>
        </w:tc>
        <w:tc>
          <w:tcPr>
            <w:tcW w:w="1308" w:type="pct"/>
            <w:vAlign w:val="center"/>
          </w:tcPr>
          <w:p w14:paraId="1EB08AE3" w14:textId="77777777" w:rsidR="007F1905" w:rsidRDefault="007F1905" w:rsidP="00FD3F4D">
            <w:pPr>
              <w:cnfStyle w:val="000000000000" w:firstRow="0" w:lastRow="0" w:firstColumn="0" w:lastColumn="0" w:oddVBand="0" w:evenVBand="0" w:oddHBand="0" w:evenHBand="0" w:firstRowFirstColumn="0" w:firstRowLastColumn="0" w:lastRowFirstColumn="0" w:lastRowLastColumn="0"/>
            </w:pPr>
            <w:r>
              <w:t>30 days</w:t>
            </w:r>
          </w:p>
        </w:tc>
      </w:tr>
      <w:tr w:rsidR="007F1905" w14:paraId="4C2DDF98" w14:textId="77777777" w:rsidTr="00FD3F4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55" w:type="pct"/>
            <w:vAlign w:val="center"/>
          </w:tcPr>
          <w:p w14:paraId="4E6D28C0" w14:textId="77777777" w:rsidR="007F1905" w:rsidRDefault="007F1905" w:rsidP="00FD3F4D">
            <w:r>
              <w:t>Reportable leakage event</w:t>
            </w:r>
          </w:p>
        </w:tc>
        <w:tc>
          <w:tcPr>
            <w:tcW w:w="1337" w:type="pct"/>
            <w:vAlign w:val="center"/>
          </w:tcPr>
          <w:p w14:paraId="4CC11DFF" w14:textId="77777777" w:rsidR="007F1905" w:rsidRDefault="007F1905" w:rsidP="00FD3F4D">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Fugitive emissions</w:t>
            </w:r>
          </w:p>
        </w:tc>
        <w:tc>
          <w:tcPr>
            <w:tcW w:w="1100" w:type="pct"/>
            <w:vAlign w:val="center"/>
          </w:tcPr>
          <w:p w14:paraId="27A8AE15" w14:textId="77777777" w:rsidR="007F1905" w:rsidRDefault="007F1905" w:rsidP="00FD3F4D">
            <w:pPr>
              <w:cnfStyle w:val="000000100000" w:firstRow="0" w:lastRow="0" w:firstColumn="0" w:lastColumn="0" w:oddVBand="0" w:evenVBand="0" w:oddHBand="1" w:evenHBand="0" w:firstRowFirstColumn="0" w:firstRowLastColumn="0" w:lastRowFirstColumn="0" w:lastRowLastColumn="0"/>
            </w:pPr>
            <w:r>
              <w:t>Direct emissions</w:t>
            </w:r>
          </w:p>
        </w:tc>
        <w:tc>
          <w:tcPr>
            <w:tcW w:w="1308" w:type="pct"/>
            <w:vAlign w:val="center"/>
          </w:tcPr>
          <w:p w14:paraId="0D2B2B6E" w14:textId="77777777" w:rsidR="007F1905" w:rsidRDefault="007F1905" w:rsidP="00FD3F4D">
            <w:pPr>
              <w:cnfStyle w:val="000000100000" w:firstRow="0" w:lastRow="0" w:firstColumn="0" w:lastColumn="0" w:oddVBand="0" w:evenVBand="0" w:oddHBand="1" w:evenHBand="0" w:firstRowFirstColumn="0" w:firstRowLastColumn="0" w:lastRowFirstColumn="0" w:lastRowLastColumn="0"/>
            </w:pPr>
            <w:r>
              <w:t>30 days</w:t>
            </w:r>
          </w:p>
        </w:tc>
      </w:tr>
      <w:tr w:rsidR="007F1905" w14:paraId="0AF82C45" w14:textId="77777777" w:rsidTr="00FD3F4D">
        <w:trPr>
          <w:trHeight w:val="624"/>
        </w:trPr>
        <w:tc>
          <w:tcPr>
            <w:cnfStyle w:val="001000000000" w:firstRow="0" w:lastRow="0" w:firstColumn="1" w:lastColumn="0" w:oddVBand="0" w:evenVBand="0" w:oddHBand="0" w:evenHBand="0" w:firstRowFirstColumn="0" w:firstRowLastColumn="0" w:lastRowFirstColumn="0" w:lastRowLastColumn="0"/>
            <w:tcW w:w="1255" w:type="pct"/>
            <w:vAlign w:val="center"/>
          </w:tcPr>
          <w:p w14:paraId="16E7B2BF" w14:textId="77777777" w:rsidR="007F1905" w:rsidRDefault="007F1905" w:rsidP="00FD3F4D">
            <w:r>
              <w:t>Reportable solid or liquid disposal event</w:t>
            </w:r>
          </w:p>
        </w:tc>
        <w:tc>
          <w:tcPr>
            <w:tcW w:w="1337" w:type="pct"/>
            <w:vAlign w:val="center"/>
          </w:tcPr>
          <w:p w14:paraId="51C10BC6" w14:textId="77777777" w:rsidR="007F1905" w:rsidRDefault="007F1905" w:rsidP="00FD3F4D">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Waste</w:t>
            </w:r>
          </w:p>
        </w:tc>
        <w:tc>
          <w:tcPr>
            <w:tcW w:w="1100" w:type="pct"/>
            <w:vAlign w:val="center"/>
          </w:tcPr>
          <w:p w14:paraId="75ED8238" w14:textId="77777777" w:rsidR="007F1905" w:rsidRDefault="007F1905" w:rsidP="00FD3F4D">
            <w:pPr>
              <w:cnfStyle w:val="000000000000" w:firstRow="0" w:lastRow="0" w:firstColumn="0" w:lastColumn="0" w:oddVBand="0" w:evenVBand="0" w:oddHBand="0" w:evenHBand="0" w:firstRowFirstColumn="0" w:firstRowLastColumn="0" w:lastRowFirstColumn="0" w:lastRowLastColumn="0"/>
            </w:pPr>
            <w:r>
              <w:t>Measure and model</w:t>
            </w:r>
          </w:p>
        </w:tc>
        <w:tc>
          <w:tcPr>
            <w:tcW w:w="1308" w:type="pct"/>
            <w:vAlign w:val="center"/>
          </w:tcPr>
          <w:p w14:paraId="33A98FA3" w14:textId="77777777" w:rsidR="007F1905" w:rsidRDefault="007F1905" w:rsidP="00FD3F4D">
            <w:pPr>
              <w:cnfStyle w:val="000000000000" w:firstRow="0" w:lastRow="0" w:firstColumn="0" w:lastColumn="0" w:oddVBand="0" w:evenVBand="0" w:oddHBand="0" w:evenHBand="0" w:firstRowFirstColumn="0" w:firstRowLastColumn="0" w:lastRowFirstColumn="0" w:lastRowLastColumn="0"/>
            </w:pPr>
            <w:r>
              <w:t>30 days</w:t>
            </w:r>
          </w:p>
        </w:tc>
      </w:tr>
      <w:tr w:rsidR="007F1905" w14:paraId="38164F12" w14:textId="77777777" w:rsidTr="00FD3F4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55" w:type="pct"/>
            <w:vAlign w:val="center"/>
          </w:tcPr>
          <w:p w14:paraId="6DC7148D" w14:textId="77777777" w:rsidR="007F1905" w:rsidRDefault="007F1905" w:rsidP="00FD3F4D">
            <w:r>
              <w:t>Refrigerant and SF</w:t>
            </w:r>
            <w:r w:rsidRPr="002252FF">
              <w:rPr>
                <w:vertAlign w:val="subscript"/>
              </w:rPr>
              <w:t>6</w:t>
            </w:r>
            <w:r>
              <w:t xml:space="preserve"> leakage/loss</w:t>
            </w:r>
          </w:p>
        </w:tc>
        <w:tc>
          <w:tcPr>
            <w:tcW w:w="1337" w:type="pct"/>
            <w:vAlign w:val="center"/>
          </w:tcPr>
          <w:p w14:paraId="096C5BFD" w14:textId="77777777" w:rsidR="007F1905" w:rsidRDefault="007F1905" w:rsidP="00FD3F4D">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Industrial processes</w:t>
            </w:r>
          </w:p>
        </w:tc>
        <w:tc>
          <w:tcPr>
            <w:tcW w:w="1100" w:type="pct"/>
            <w:vAlign w:val="center"/>
          </w:tcPr>
          <w:p w14:paraId="1D11A8A4" w14:textId="77777777" w:rsidR="007F1905" w:rsidRDefault="007F1905" w:rsidP="00FD3F4D">
            <w:pPr>
              <w:cnfStyle w:val="000000100000" w:firstRow="0" w:lastRow="0" w:firstColumn="0" w:lastColumn="0" w:oddVBand="0" w:evenVBand="0" w:oddHBand="1" w:evenHBand="0" w:firstRowFirstColumn="0" w:firstRowLastColumn="0" w:lastRowFirstColumn="0" w:lastRowLastColumn="0"/>
            </w:pPr>
            <w:r>
              <w:t>Maintenance logs</w:t>
            </w:r>
          </w:p>
        </w:tc>
        <w:tc>
          <w:tcPr>
            <w:tcW w:w="1308" w:type="pct"/>
            <w:vAlign w:val="center"/>
          </w:tcPr>
          <w:p w14:paraId="497F6A1A" w14:textId="77777777" w:rsidR="007F1905" w:rsidRDefault="007F1905" w:rsidP="00FD3F4D">
            <w:pPr>
              <w:cnfStyle w:val="000000100000" w:firstRow="0" w:lastRow="0" w:firstColumn="0" w:lastColumn="0" w:oddVBand="0" w:evenVBand="0" w:oddHBand="1" w:evenHBand="0" w:firstRowFirstColumn="0" w:firstRowLastColumn="0" w:lastRowFirstColumn="0" w:lastRowLastColumn="0"/>
            </w:pPr>
            <w:r>
              <w:t>No more than 365 days</w:t>
            </w:r>
          </w:p>
        </w:tc>
      </w:tr>
    </w:tbl>
    <w:p w14:paraId="70B4FF7B" w14:textId="77777777" w:rsidR="00FC63E6" w:rsidRDefault="00FC63E6" w:rsidP="001A3483">
      <w:pPr>
        <w:spacing w:before="160"/>
      </w:pPr>
      <w:r>
        <w:t xml:space="preserve">The accrued emissions that are to be included is calculated by </w:t>
      </w:r>
      <w:r w:rsidR="005C3299">
        <w:t xml:space="preserve">first </w:t>
      </w:r>
      <w:r w:rsidR="006969D7">
        <w:t xml:space="preserve">dividing the emissions associated with the emissions event by the </w:t>
      </w:r>
      <w:r w:rsidR="001820C2">
        <w:t>accrual period. This gives an emissions per day value</w:t>
      </w:r>
      <w:r w:rsidR="00646178">
        <w:t xml:space="preserve"> that can be </w:t>
      </w:r>
      <w:r w:rsidR="00AD4185">
        <w:t xml:space="preserve">divided by the production quantity for each day </w:t>
      </w:r>
      <w:r w:rsidR="005C3299">
        <w:t xml:space="preserve">to apportion the emissions over the quantity of output. </w:t>
      </w:r>
      <w:r w:rsidR="007878F1">
        <w:t>Once the accrual period has lapsed, the</w:t>
      </w:r>
      <w:r w:rsidR="004301F9">
        <w:t xml:space="preserve"> associated emissions will have all been allocated and there will be no need to continue apportioning emissions.</w:t>
      </w:r>
    </w:p>
    <w:p w14:paraId="678BF98C" w14:textId="05F566E6" w:rsidR="00220E1E" w:rsidRDefault="00220E1E" w:rsidP="005C3299">
      <w:r>
        <w:t xml:space="preserve">The approach to estimating the </w:t>
      </w:r>
      <w:r w:rsidR="0079105F">
        <w:t xml:space="preserve">emissions associated with the various emissions events is discussed in </w:t>
      </w:r>
      <w:r w:rsidR="00761B03">
        <w:fldChar w:fldCharType="begin"/>
      </w:r>
      <w:r w:rsidR="00761B03">
        <w:instrText xml:space="preserve"> REF _Ref130561849 \r \h </w:instrText>
      </w:r>
      <w:r w:rsidR="00761B03">
        <w:fldChar w:fldCharType="separate"/>
      </w:r>
      <w:r w:rsidR="00785FEC">
        <w:t>Part 4</w:t>
      </w:r>
      <w:r w:rsidR="00761B03">
        <w:fldChar w:fldCharType="end"/>
      </w:r>
      <w:r w:rsidR="0079105F">
        <w:t xml:space="preserve"> of this paper.</w:t>
      </w:r>
    </w:p>
    <w:p w14:paraId="30F5FABC" w14:textId="72218BA8" w:rsidR="008D3E78" w:rsidRDefault="008D3E78" w:rsidP="008D3E78">
      <w:pPr>
        <w:pStyle w:val="Calloutbox"/>
        <w:spacing w:after="120"/>
        <w:contextualSpacing w:val="0"/>
        <w:rPr>
          <w:b/>
          <w:bCs/>
        </w:rPr>
      </w:pPr>
      <w:r>
        <w:rPr>
          <w:b/>
          <w:bCs/>
        </w:rPr>
        <w:t xml:space="preserve">GO Calculator user guide – </w:t>
      </w:r>
      <w:r w:rsidR="002F18F6">
        <w:rPr>
          <w:b/>
          <w:bCs/>
        </w:rPr>
        <w:t>I</w:t>
      </w:r>
      <w:r>
        <w:rPr>
          <w:b/>
          <w:bCs/>
        </w:rPr>
        <w:t xml:space="preserve">nputting accrued emissions </w:t>
      </w:r>
    </w:p>
    <w:p w14:paraId="64CCC07E" w14:textId="4541BFF3" w:rsidR="006B4D0C" w:rsidRDefault="006B4D0C" w:rsidP="00F259DF">
      <w:pPr>
        <w:pStyle w:val="Calloutbox"/>
        <w:spacing w:after="120" w:line="276" w:lineRule="auto"/>
        <w:contextualSpacing w:val="0"/>
      </w:pPr>
      <w:r>
        <w:t xml:space="preserve">The GO Calculator has sections where accrued emissions information can be input </w:t>
      </w:r>
      <w:r w:rsidR="007461BA">
        <w:t>in the relevant</w:t>
      </w:r>
      <w:r>
        <w:t xml:space="preserve"> production pathway tabs. </w:t>
      </w:r>
    </w:p>
    <w:p w14:paraId="4C746CC3" w14:textId="77777777" w:rsidR="005C47C8" w:rsidRDefault="005C47C8" w:rsidP="00F259DF">
      <w:pPr>
        <w:pStyle w:val="Calloutbox"/>
        <w:spacing w:after="120" w:line="276" w:lineRule="auto"/>
        <w:contextualSpacing w:val="0"/>
      </w:pPr>
      <w:r>
        <w:t>Accrued emissions related to fugitive emissions or waste can be calculated in the GAS STREAM FUGITIVE EMISSIONS and REPORTABLE FUGITIVE EMISSIONS sections of the “Natural Gas Reforming” and “Coal Gasification” tabs.</w:t>
      </w:r>
    </w:p>
    <w:p w14:paraId="4341FC09" w14:textId="1E1341EC" w:rsidR="000739B0" w:rsidRDefault="000E0B1E" w:rsidP="00A66032">
      <w:pPr>
        <w:pStyle w:val="Calloutbox"/>
        <w:spacing w:after="120" w:line="276" w:lineRule="auto"/>
        <w:contextualSpacing w:val="0"/>
      </w:pPr>
      <w:r>
        <w:t xml:space="preserve">Accrued emissions related to industrial processes can be calculated in the </w:t>
      </w:r>
      <w:r w:rsidR="0016788A" w:rsidRPr="0016788A">
        <w:rPr>
          <w:i/>
          <w:iCs/>
        </w:rPr>
        <w:t>INDUSTRIAL PROCESS</w:t>
      </w:r>
      <w:r w:rsidR="00D85845">
        <w:rPr>
          <w:i/>
          <w:iCs/>
        </w:rPr>
        <w:t xml:space="preserve"> EMISSIONS</w:t>
      </w:r>
      <w:r w:rsidR="0016788A">
        <w:rPr>
          <w:i/>
          <w:iCs/>
        </w:rPr>
        <w:t xml:space="preserve"> </w:t>
      </w:r>
      <w:r w:rsidR="0016788A">
        <w:t>section of the production pathway tabs. Once the</w:t>
      </w:r>
      <w:r w:rsidR="00905CCB">
        <w:t xml:space="preserve"> process, gas, quantity and units have been provided the </w:t>
      </w:r>
      <w:r w:rsidR="00DD2536">
        <w:t>tab will automatically calculate the relevant emissions for the batch period</w:t>
      </w:r>
      <w:r w:rsidR="0033490D">
        <w:t>.</w:t>
      </w:r>
    </w:p>
    <w:p w14:paraId="64AB17BA" w14:textId="716177E8" w:rsidR="007A2E57" w:rsidRDefault="00CB59A9" w:rsidP="00410496">
      <w:pPr>
        <w:pStyle w:val="Heading3"/>
        <w:spacing w:before="360"/>
      </w:pPr>
      <w:bookmarkStart w:id="153" w:name="_Ref129785336"/>
      <w:r>
        <w:t>E</w:t>
      </w:r>
      <w:r w:rsidR="007A2E57" w:rsidRPr="007A2E57">
        <w:t>lectricity</w:t>
      </w:r>
      <w:bookmarkEnd w:id="153"/>
      <w:r>
        <w:t xml:space="preserve"> emissions</w:t>
      </w:r>
    </w:p>
    <w:tbl>
      <w:tblPr>
        <w:tblStyle w:val="CERCallout"/>
        <w:tblpPr w:leftFromText="180" w:rightFromText="180" w:vertAnchor="page" w:horzAnchor="margin" w:tblpY="1729"/>
        <w:tblW w:w="5000" w:type="pct"/>
        <w:tblLook w:val="0480" w:firstRow="0" w:lastRow="0" w:firstColumn="1" w:lastColumn="0" w:noHBand="0" w:noVBand="1"/>
        <w:tblCaption w:val="test"/>
        <w:tblDescription w:val="tesst"/>
      </w:tblPr>
      <w:tblGrid>
        <w:gridCol w:w="8996"/>
      </w:tblGrid>
      <w:tr w:rsidR="009E74FD" w14:paraId="35BDB90B" w14:textId="77777777" w:rsidTr="009E74FD">
        <w:trPr>
          <w:cantSplit w:val="0"/>
        </w:trPr>
        <w:tc>
          <w:tcPr>
            <w:tcW w:w="5000" w:type="pct"/>
          </w:tcPr>
          <w:p w14:paraId="59379693" w14:textId="77777777" w:rsidR="009E74FD" w:rsidRPr="00C209F1" w:rsidRDefault="009E74FD" w:rsidP="009E74FD">
            <w:pPr>
              <w:pStyle w:val="Heading4"/>
              <w:keepNext w:val="0"/>
              <w:keepLines w:val="0"/>
              <w:widowControl w:val="0"/>
              <w:numPr>
                <w:ilvl w:val="3"/>
                <w:numId w:val="0"/>
              </w:numPr>
              <w:spacing w:before="0" w:beforeAutospacing="0" w:after="160"/>
              <w:rPr>
                <w:b/>
                <w:bCs/>
                <w:i w:val="0"/>
                <w:iCs/>
              </w:rPr>
            </w:pPr>
            <w:r>
              <w:rPr>
                <w:b/>
                <w:bCs/>
                <w:i w:val="0"/>
                <w:iCs/>
              </w:rPr>
              <w:t>Accrued emissions in practice</w:t>
            </w:r>
          </w:p>
          <w:p w14:paraId="44987D83" w14:textId="77777777" w:rsidR="009E74FD" w:rsidRDefault="009E74FD" w:rsidP="009E74FD">
            <w:pPr>
              <w:widowControl w:val="0"/>
              <w:spacing w:before="0" w:beforeAutospacing="0" w:after="160"/>
              <w:rPr>
                <w:rFonts w:eastAsiaTheme="minorEastAsia"/>
              </w:rPr>
            </w:pPr>
            <w:r>
              <w:rPr>
                <w:rFonts w:eastAsiaTheme="minorEastAsia"/>
              </w:rPr>
              <w:t>Facility A determines that their emissions associated with a reportable venting event over a 30 day period is 700 kg CO</w:t>
            </w:r>
            <w:r>
              <w:rPr>
                <w:rFonts w:eastAsiaTheme="minorEastAsia"/>
              </w:rPr>
              <w:softHyphen/>
            </w:r>
            <w:r>
              <w:rPr>
                <w:rFonts w:eastAsiaTheme="minorEastAsia"/>
              </w:rPr>
              <w:softHyphen/>
            </w:r>
            <w:r>
              <w:rPr>
                <w:rFonts w:eastAsiaTheme="minorEastAsia"/>
              </w:rPr>
              <w:softHyphen/>
            </w:r>
            <w:r>
              <w:rPr>
                <w:rFonts w:eastAsiaTheme="minorEastAsia"/>
              </w:rPr>
              <w:softHyphen/>
            </w:r>
            <w:r w:rsidRPr="00C20E5C">
              <w:rPr>
                <w:rFonts w:eastAsiaTheme="minorEastAsia"/>
                <w:vertAlign w:val="subscript"/>
              </w:rPr>
              <w:t>2</w:t>
            </w:r>
            <w:r>
              <w:rPr>
                <w:rFonts w:eastAsiaTheme="minorEastAsia"/>
              </w:rPr>
              <w:t>-e</w:t>
            </w:r>
            <w:r>
              <w:rPr>
                <w:rFonts w:eastAsiaTheme="minorEastAsia"/>
              </w:rPr>
              <w:softHyphen/>
              <w:t xml:space="preserve">. </w:t>
            </w:r>
          </w:p>
          <w:p w14:paraId="2913EAF3" w14:textId="77777777" w:rsidR="009E74FD" w:rsidRDefault="009E74FD" w:rsidP="009E74FD">
            <w:pPr>
              <w:widowControl w:val="0"/>
              <w:spacing w:before="0" w:beforeAutospacing="0" w:after="160"/>
              <w:rPr>
                <w:rFonts w:eastAsiaTheme="minorEastAsia"/>
              </w:rPr>
            </w:pPr>
            <w:r>
              <w:rPr>
                <w:rFonts w:eastAsiaTheme="minorEastAsia"/>
              </w:rPr>
              <w:t>The proportion of these emissions on a daily basis can be calculated using the below equation:</w:t>
            </w:r>
          </w:p>
          <w:p w14:paraId="7C293661" w14:textId="77777777" w:rsidR="009E74FD" w:rsidRPr="00F9428B" w:rsidRDefault="00033A46" w:rsidP="009E74FD">
            <w:pPr>
              <w:widowControl w:val="0"/>
              <w:spacing w:before="0" w:beforeAutospacing="0" w:after="160"/>
              <w:rPr>
                <w:rFonts w:eastAsiaTheme="minorEastAsia"/>
                <w:b/>
                <w:bCs/>
              </w:rPr>
            </w:pPr>
            <m:oMathPara>
              <m:oMath>
                <m:r>
                  <m:rPr>
                    <m:sty m:val="bi"/>
                  </m:rPr>
                  <w:rPr>
                    <w:rFonts w:ascii="Cambria Math" w:hAnsi="Cambria Math"/>
                  </w:rPr>
                  <m:t>E</m:t>
                </m:r>
                <m:sSub>
                  <m:sSubPr>
                    <m:ctrlPr>
                      <w:rPr>
                        <w:rFonts w:ascii="Cambria Math" w:hAnsi="Cambria Math"/>
                        <w:b/>
                        <w:bCs/>
                        <w:i/>
                      </w:rPr>
                    </m:ctrlPr>
                  </m:sSubPr>
                  <m:e>
                    <m:r>
                      <m:rPr>
                        <m:sty m:val="p"/>
                      </m:rPr>
                      <w:rPr>
                        <w:rFonts w:ascii="Cambria Math" w:hAnsi="Cambria Math"/>
                      </w:rPr>
                      <w:softHyphen/>
                    </m:r>
                  </m:e>
                  <m:sub>
                    <m:r>
                      <m:rPr>
                        <m:sty m:val="bi"/>
                      </m:rPr>
                      <w:rPr>
                        <w:rFonts w:ascii="Cambria Math" w:hAnsi="Cambria Math"/>
                      </w:rPr>
                      <m:t>daily, i</m:t>
                    </m:r>
                  </m:sub>
                </m:sSub>
                <m:r>
                  <m:rPr>
                    <m:sty m:val="bi"/>
                  </m:rPr>
                  <w:rPr>
                    <w:rFonts w:ascii="Cambria Math" w:hAnsi="Cambria Math"/>
                  </w:rPr>
                  <m: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accrued, i</m:t>
                        </m:r>
                      </m:sub>
                    </m:sSub>
                    <m:ctrlPr>
                      <w:rPr>
                        <w:rFonts w:ascii="Cambria Math" w:eastAsiaTheme="minorEastAsia" w:hAnsi="Cambria Math"/>
                        <w:b/>
                        <w:bCs/>
                        <w:i/>
                      </w:rPr>
                    </m:ctrlPr>
                  </m:num>
                  <m:den>
                    <m:r>
                      <m:rPr>
                        <m:sty m:val="bi"/>
                      </m:rPr>
                      <w:rPr>
                        <w:rFonts w:ascii="Cambria Math" w:eastAsiaTheme="minorEastAsia" w:hAnsi="Cambria Math"/>
                      </w:rPr>
                      <m:t>Accrua</m:t>
                    </m:r>
                    <m:sSub>
                      <m:sSubPr>
                        <m:ctrlPr>
                          <w:rPr>
                            <w:rFonts w:ascii="Cambria Math" w:eastAsiaTheme="minorEastAsia" w:hAnsi="Cambria Math"/>
                            <w:b/>
                            <w:bCs/>
                            <w:i/>
                          </w:rPr>
                        </m:ctrlPr>
                      </m:sSubPr>
                      <m:e>
                        <m:r>
                          <m:rPr>
                            <m:sty m:val="bi"/>
                          </m:rPr>
                          <w:rPr>
                            <w:rFonts w:ascii="Cambria Math" w:eastAsiaTheme="minorEastAsia" w:hAnsi="Cambria Math"/>
                          </w:rPr>
                          <m:t>l</m:t>
                        </m:r>
                      </m:e>
                      <m:sub>
                        <m:r>
                          <m:rPr>
                            <m:sty m:val="bi"/>
                          </m:rPr>
                          <w:rPr>
                            <w:rFonts w:ascii="Cambria Math" w:eastAsiaTheme="minorEastAsia" w:hAnsi="Cambria Math"/>
                          </w:rPr>
                          <m:t>period</m:t>
                        </m:r>
                      </m:sub>
                    </m:sSub>
                  </m:den>
                </m:f>
              </m:oMath>
            </m:oMathPara>
          </w:p>
          <w:p w14:paraId="541819BA" w14:textId="77777777" w:rsidR="009E74FD" w:rsidRDefault="009E74FD" w:rsidP="009E74FD">
            <w:pPr>
              <w:widowControl w:val="0"/>
              <w:spacing w:before="0" w:beforeAutospacing="0" w:after="160"/>
              <w:rPr>
                <w:rFonts w:eastAsiaTheme="minorEastAsia"/>
              </w:rPr>
            </w:pPr>
            <w:r>
              <w:rPr>
                <w:rFonts w:eastAsiaTheme="minorEastAsia"/>
              </w:rPr>
              <w:t>Substituting the example values into the above equation gives the result:</w:t>
            </w:r>
          </w:p>
          <w:p w14:paraId="3B9FE364" w14:textId="77777777" w:rsidR="009E74FD" w:rsidRPr="00F9428B" w:rsidRDefault="00033A46" w:rsidP="009E74FD">
            <w:pPr>
              <w:widowControl w:val="0"/>
              <w:spacing w:before="0" w:beforeAutospacing="0" w:after="160"/>
              <w:rPr>
                <w:rFonts w:eastAsiaTheme="minorEastAsia"/>
                <w:b/>
                <w:bCs/>
              </w:rPr>
            </w:pPr>
            <m:oMathPara>
              <m:oMath>
                <m:r>
                  <m:rPr>
                    <m:sty m:val="bi"/>
                  </m:rPr>
                  <w:rPr>
                    <w:rFonts w:ascii="Cambria Math" w:eastAsiaTheme="minorEastAsia" w:hAnsi="Cambria Math"/>
                  </w:rPr>
                  <m:t>23.33</m:t>
                </m:r>
                <m:r>
                  <m:rPr>
                    <m:sty m:val="bi"/>
                  </m:rPr>
                  <w:rPr>
                    <w:rFonts w:ascii="Cambria Math" w:hAnsi="Cambria Math"/>
                  </w:rPr>
                  <m:t>=</m:t>
                </m:r>
                <m:f>
                  <m:fPr>
                    <m:ctrlPr>
                      <w:rPr>
                        <w:rFonts w:ascii="Cambria Math" w:hAnsi="Cambria Math"/>
                        <w:b/>
                        <w:bCs/>
                        <w:i/>
                      </w:rPr>
                    </m:ctrlPr>
                  </m:fPr>
                  <m:num>
                    <m:r>
                      <m:rPr>
                        <m:sty m:val="bi"/>
                      </m:rPr>
                      <w:rPr>
                        <w:rFonts w:ascii="Cambria Math" w:hAnsi="Cambria Math"/>
                      </w:rPr>
                      <m:t>700</m:t>
                    </m:r>
                    <m:ctrlPr>
                      <w:rPr>
                        <w:rFonts w:ascii="Cambria Math" w:eastAsiaTheme="minorEastAsia" w:hAnsi="Cambria Math"/>
                        <w:b/>
                        <w:bCs/>
                        <w:i/>
                      </w:rPr>
                    </m:ctrlPr>
                  </m:num>
                  <m:den>
                    <m:r>
                      <m:rPr>
                        <m:sty m:val="bi"/>
                      </m:rPr>
                      <w:rPr>
                        <w:rFonts w:ascii="Cambria Math" w:eastAsiaTheme="minorEastAsia" w:hAnsi="Cambria Math"/>
                      </w:rPr>
                      <m:t>30</m:t>
                    </m:r>
                  </m:den>
                </m:f>
              </m:oMath>
            </m:oMathPara>
          </w:p>
          <w:p w14:paraId="7FE33F9A" w14:textId="77777777" w:rsidR="009E74FD" w:rsidRDefault="009E74FD" w:rsidP="009E74FD">
            <w:pPr>
              <w:widowControl w:val="0"/>
              <w:spacing w:before="0" w:beforeAutospacing="0" w:after="160"/>
              <w:rPr>
                <w:rFonts w:eastAsiaTheme="minorEastAsia"/>
              </w:rPr>
            </w:pPr>
            <w:r>
              <w:rPr>
                <w:rFonts w:eastAsiaTheme="minorEastAsia"/>
              </w:rPr>
              <w:t>The</w:t>
            </w:r>
            <w:r w:rsidDel="001D1FDF">
              <w:rPr>
                <w:rFonts w:eastAsiaTheme="minorEastAsia"/>
              </w:rPr>
              <w:t xml:space="preserve"> </w:t>
            </w:r>
            <w:r>
              <w:rPr>
                <w:rFonts w:eastAsiaTheme="minorEastAsia"/>
              </w:rPr>
              <w:t>emissions attributable to this reportable event for each day of operation is therefore 23.33 kg CO</w:t>
            </w:r>
            <w:r>
              <w:rPr>
                <w:rFonts w:eastAsiaTheme="minorEastAsia"/>
              </w:rPr>
              <w:softHyphen/>
            </w:r>
            <w:r>
              <w:rPr>
                <w:rFonts w:eastAsiaTheme="minorEastAsia"/>
                <w:vertAlign w:val="subscript"/>
              </w:rPr>
              <w:t>2</w:t>
            </w:r>
            <w:r>
              <w:rPr>
                <w:rFonts w:eastAsiaTheme="minorEastAsia"/>
              </w:rPr>
              <w:t>-e. This value is then able to be apportioned across the production output for each day over the next 30 days. Facility A then produces 3 kgs of hydrogen over the course of a single day.</w:t>
            </w:r>
          </w:p>
          <w:p w14:paraId="4C0BF3B3" w14:textId="77777777" w:rsidR="009E74FD" w:rsidRDefault="009E74FD" w:rsidP="009E74FD">
            <w:pPr>
              <w:widowControl w:val="0"/>
              <w:spacing w:before="0" w:beforeAutospacing="0" w:after="160"/>
              <w:rPr>
                <w:rFonts w:eastAsiaTheme="minorEastAsia"/>
              </w:rPr>
            </w:pPr>
            <w:r>
              <w:rPr>
                <w:rFonts w:eastAsiaTheme="minorEastAsia"/>
              </w:rPr>
              <w:t>The</w:t>
            </w:r>
            <w:r w:rsidDel="00DF3BAB">
              <w:rPr>
                <w:rFonts w:eastAsiaTheme="minorEastAsia"/>
              </w:rPr>
              <w:t xml:space="preserve"> </w:t>
            </w:r>
            <w:r>
              <w:rPr>
                <w:rFonts w:eastAsiaTheme="minorEastAsia"/>
              </w:rPr>
              <w:t xml:space="preserve">accrued emissions attributable to the reportable event </w:t>
            </w:r>
            <w:proofErr w:type="spellStart"/>
            <w:r>
              <w:rPr>
                <w:rFonts w:eastAsiaTheme="minorEastAsia"/>
              </w:rPr>
              <w:t>i</w:t>
            </w:r>
            <w:proofErr w:type="spellEnd"/>
            <w:r>
              <w:rPr>
                <w:rFonts w:eastAsiaTheme="minorEastAsia"/>
              </w:rPr>
              <w:t xml:space="preserve"> for each unit of hydrogen can then be calculated as:</w:t>
            </w:r>
          </w:p>
          <w:p w14:paraId="01910481" w14:textId="77777777" w:rsidR="009E74FD" w:rsidRPr="00F9428B" w:rsidRDefault="00033A46" w:rsidP="009E74FD">
            <w:pPr>
              <w:widowControl w:val="0"/>
              <w:spacing w:before="0" w:beforeAutospacing="0" w:after="160"/>
              <w:rPr>
                <w:rFonts w:eastAsiaTheme="minorEastAsia"/>
                <w:b/>
                <w:bCs/>
              </w:rPr>
            </w:pPr>
            <m:oMathPara>
              <m:oMath>
                <m:r>
                  <m:rPr>
                    <m:sty m:val="bi"/>
                  </m:rPr>
                  <w:rPr>
                    <w:rFonts w:ascii="Cambria Math" w:hAnsi="Cambria Math"/>
                  </w:rPr>
                  <m:t>E</m:t>
                </m:r>
                <m:sSub>
                  <m:sSubPr>
                    <m:ctrlPr>
                      <w:rPr>
                        <w:rFonts w:ascii="Cambria Math" w:hAnsi="Cambria Math"/>
                        <w:b/>
                        <w:bCs/>
                        <w:i/>
                      </w:rPr>
                    </m:ctrlPr>
                  </m:sSubPr>
                  <m:e>
                    <m:r>
                      <m:rPr>
                        <m:sty m:val="p"/>
                      </m:rPr>
                      <w:rPr>
                        <w:rFonts w:ascii="Cambria Math" w:hAnsi="Cambria Math"/>
                      </w:rPr>
                      <w:softHyphen/>
                    </m:r>
                  </m:e>
                  <m:sub>
                    <m:r>
                      <m:rPr>
                        <m:sty m:val="bi"/>
                      </m:rPr>
                      <w:rPr>
                        <w:rFonts w:ascii="Cambria Math" w:hAnsi="Cambria Math"/>
                      </w:rPr>
                      <m:t>unit, i</m:t>
                    </m:r>
                  </m:sub>
                </m:sSub>
                <m:r>
                  <m:rPr>
                    <m:sty m:val="bi"/>
                  </m:rPr>
                  <w:rPr>
                    <w:rFonts w:ascii="Cambria Math" w:hAnsi="Cambria Math"/>
                  </w:rPr>
                  <m: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daily, i</m:t>
                        </m:r>
                      </m:sub>
                    </m:sSub>
                    <m:ctrlPr>
                      <w:rPr>
                        <w:rFonts w:ascii="Cambria Math" w:eastAsiaTheme="minorEastAsia" w:hAnsi="Cambria Math"/>
                        <w:b/>
                        <w:bCs/>
                        <w:i/>
                      </w:rPr>
                    </m:ctrlPr>
                  </m:num>
                  <m:den>
                    <m:sSub>
                      <m:sSubPr>
                        <m:ctrlPr>
                          <w:rPr>
                            <w:rFonts w:ascii="Cambria Math" w:eastAsiaTheme="minorEastAsia" w:hAnsi="Cambria Math"/>
                            <w:b/>
                            <w:bCs/>
                            <w:i/>
                          </w:rPr>
                        </m:ctrlPr>
                      </m:sSubPr>
                      <m:e>
                        <m:r>
                          <m:rPr>
                            <m:sty m:val="bi"/>
                          </m:rPr>
                          <w:rPr>
                            <w:rFonts w:ascii="Cambria Math" w:eastAsiaTheme="minorEastAsia" w:hAnsi="Cambria Math"/>
                          </w:rPr>
                          <m:t>Q</m:t>
                        </m:r>
                      </m:e>
                      <m:sub>
                        <m:r>
                          <m:rPr>
                            <m:sty m:val="bi"/>
                          </m:rPr>
                          <w:rPr>
                            <w:rFonts w:ascii="Cambria Math" w:eastAsiaTheme="minorEastAsia" w:hAnsi="Cambria Math"/>
                          </w:rPr>
                          <m:t>daily,i</m:t>
                        </m:r>
                      </m:sub>
                    </m:sSub>
                  </m:den>
                </m:f>
              </m:oMath>
            </m:oMathPara>
          </w:p>
          <w:p w14:paraId="3366809C" w14:textId="77777777" w:rsidR="009E74FD" w:rsidRDefault="009E74FD" w:rsidP="009E74FD">
            <w:pPr>
              <w:widowControl w:val="0"/>
              <w:spacing w:before="0" w:beforeAutospacing="0" w:after="160"/>
              <w:rPr>
                <w:rFonts w:eastAsiaTheme="minorEastAsia"/>
              </w:rPr>
            </w:pPr>
            <w:r>
              <w:rPr>
                <w:rFonts w:eastAsiaTheme="minorEastAsia"/>
              </w:rPr>
              <w:t>Substituting the example values above, the accrued emissions per unit of hydrogen (kg CO</w:t>
            </w:r>
            <w:r w:rsidRPr="00790E2B">
              <w:rPr>
                <w:rFonts w:eastAsiaTheme="minorEastAsia"/>
                <w:vertAlign w:val="subscript"/>
              </w:rPr>
              <w:t>2</w:t>
            </w:r>
            <w:r>
              <w:rPr>
                <w:rFonts w:eastAsiaTheme="minorEastAsia"/>
              </w:rPr>
              <w:t>-e/kg H</w:t>
            </w:r>
            <w:r w:rsidRPr="00790E2B">
              <w:rPr>
                <w:rFonts w:eastAsiaTheme="minorEastAsia"/>
                <w:vertAlign w:val="subscript"/>
              </w:rPr>
              <w:t>2</w:t>
            </w:r>
            <w:r>
              <w:rPr>
                <w:rFonts w:eastAsiaTheme="minorEastAsia"/>
              </w:rPr>
              <w:t>) comes out to:</w:t>
            </w:r>
          </w:p>
          <w:p w14:paraId="7E60BFE7" w14:textId="77777777" w:rsidR="009E74FD" w:rsidRPr="00F9428B" w:rsidRDefault="00033A46" w:rsidP="009E74FD">
            <w:pPr>
              <w:widowControl w:val="0"/>
              <w:spacing w:before="0" w:beforeAutospacing="0" w:after="160"/>
              <w:rPr>
                <w:rFonts w:eastAsiaTheme="minorEastAsia"/>
                <w:b/>
                <w:bCs/>
              </w:rPr>
            </w:pPr>
            <m:oMathPara>
              <m:oMath>
                <m:r>
                  <m:rPr>
                    <m:sty m:val="bi"/>
                  </m:rPr>
                  <w:rPr>
                    <w:rFonts w:ascii="Cambria Math" w:hAnsi="Cambria Math"/>
                  </w:rPr>
                  <m:t>7.78=</m:t>
                </m:r>
                <m:f>
                  <m:fPr>
                    <m:ctrlPr>
                      <w:rPr>
                        <w:rFonts w:ascii="Cambria Math" w:hAnsi="Cambria Math"/>
                        <w:b/>
                        <w:bCs/>
                        <w:i/>
                      </w:rPr>
                    </m:ctrlPr>
                  </m:fPr>
                  <m:num>
                    <m:r>
                      <m:rPr>
                        <m:sty m:val="bi"/>
                      </m:rPr>
                      <w:rPr>
                        <w:rFonts w:ascii="Cambria Math" w:hAnsi="Cambria Math"/>
                      </w:rPr>
                      <m:t>23.33</m:t>
                    </m:r>
                    <m:ctrlPr>
                      <w:rPr>
                        <w:rFonts w:ascii="Cambria Math" w:eastAsiaTheme="minorEastAsia" w:hAnsi="Cambria Math"/>
                        <w:b/>
                        <w:bCs/>
                        <w:i/>
                      </w:rPr>
                    </m:ctrlPr>
                  </m:num>
                  <m:den>
                    <m:r>
                      <m:rPr>
                        <m:sty m:val="bi"/>
                      </m:rPr>
                      <w:rPr>
                        <w:rFonts w:ascii="Cambria Math" w:eastAsiaTheme="minorEastAsia" w:hAnsi="Cambria Math"/>
                      </w:rPr>
                      <m:t>3</m:t>
                    </m:r>
                  </m:den>
                </m:f>
              </m:oMath>
            </m:oMathPara>
          </w:p>
          <w:p w14:paraId="60AF0773" w14:textId="77777777" w:rsidR="009E74FD" w:rsidRPr="00E813CA" w:rsidRDefault="009E74FD" w:rsidP="009E74FD">
            <w:pPr>
              <w:widowControl w:val="0"/>
              <w:spacing w:before="0" w:beforeAutospacing="0" w:after="160"/>
            </w:pPr>
            <w:r>
              <w:rPr>
                <w:rFonts w:eastAsiaTheme="minorEastAsia"/>
              </w:rPr>
              <w:t xml:space="preserve">This value is then apportioned across the various batches within the day based on the quantity produced in each batch. </w:t>
            </w:r>
          </w:p>
        </w:tc>
      </w:tr>
    </w:tbl>
    <w:p w14:paraId="41081FEC" w14:textId="4A70B4E9" w:rsidR="00CB59A9" w:rsidRDefault="009E74FD" w:rsidP="00C31992">
      <w:r>
        <w:t xml:space="preserve"> </w:t>
      </w:r>
      <w:r w:rsidR="00CB59A9">
        <w:t xml:space="preserve">The </w:t>
      </w:r>
      <w:r w:rsidR="00C44DCE">
        <w:t xml:space="preserve">GO scheme is proposed to use a market-based </w:t>
      </w:r>
      <w:r w:rsidR="00CB59A9">
        <w:t xml:space="preserve">approach to accounting for emissions from </w:t>
      </w:r>
      <w:r w:rsidR="00C44DCE">
        <w:t>electricity</w:t>
      </w:r>
      <w:r w:rsidR="00D87579">
        <w:t xml:space="preserve"> imported from the grid</w:t>
      </w:r>
      <w:r w:rsidR="00C44DCE">
        <w:t xml:space="preserve">. </w:t>
      </w:r>
      <w:r w:rsidR="00B028A3" w:rsidRPr="00B028A3">
        <w:t xml:space="preserve">The proposed method is based on the Climate Active and NGER approaches and modified to account for the </w:t>
      </w:r>
      <w:r w:rsidR="00050B62">
        <w:t>production</w:t>
      </w:r>
      <w:r w:rsidR="00B028A3" w:rsidRPr="00B028A3">
        <w:t xml:space="preserve"> boundary of the GO scheme. </w:t>
      </w:r>
    </w:p>
    <w:p w14:paraId="41802DB0" w14:textId="00F4BAD8" w:rsidR="00053B31" w:rsidRDefault="00053B31" w:rsidP="00C31992">
      <w:r>
        <w:t xml:space="preserve">The GO scheme approach allows for </w:t>
      </w:r>
      <w:r w:rsidR="003B0887">
        <w:t xml:space="preserve">the use of LGCs and REGO </w:t>
      </w:r>
      <w:r w:rsidR="00704FB9">
        <w:t xml:space="preserve">certificate </w:t>
      </w:r>
      <w:r w:rsidR="003B0887">
        <w:t xml:space="preserve">surrenders </w:t>
      </w:r>
      <w:r w:rsidR="00F0211A">
        <w:t xml:space="preserve">to demonstrate </w:t>
      </w:r>
      <w:r w:rsidR="00CC0F32">
        <w:t xml:space="preserve">renewable electricity consumption. </w:t>
      </w:r>
      <w:r w:rsidR="001A2056">
        <w:t>There are two types of surrenders that may occur for the GO scheme, direct surrenders and indirect surrenders.</w:t>
      </w:r>
      <w:r w:rsidR="001A2056" w:rsidRPr="001A2056">
        <w:t xml:space="preserve"> </w:t>
      </w:r>
      <w:r w:rsidR="001A2056">
        <w:t>Direct surrenders are recognised as renewable electricity use claimed against the grid consumption of electricity. Indirect surrenders are recognised as an Applicable Renewable Power Percentage (ARPP) applied to the grid consumption of electricity.</w:t>
      </w:r>
    </w:p>
    <w:p w14:paraId="7731C6D2" w14:textId="1697AF26" w:rsidR="00A677C7" w:rsidRDefault="00A677C7" w:rsidP="00C31992">
      <w:r>
        <w:t xml:space="preserve">The ARPP </w:t>
      </w:r>
      <w:r w:rsidR="00EE462D">
        <w:t xml:space="preserve">is </w:t>
      </w:r>
      <w:r w:rsidR="00BC52D6">
        <w:t xml:space="preserve">determined by </w:t>
      </w:r>
      <w:r w:rsidR="003A02E3">
        <w:t>several</w:t>
      </w:r>
      <w:r w:rsidR="00BC52D6">
        <w:t xml:space="preserve"> </w:t>
      </w:r>
      <w:r w:rsidR="004F29FA">
        <w:t xml:space="preserve">conditions </w:t>
      </w:r>
      <w:r w:rsidR="00884973">
        <w:t>where LGCs or REGO</w:t>
      </w:r>
      <w:r w:rsidR="00191EC0">
        <w:t xml:space="preserve"> Certificate</w:t>
      </w:r>
      <w:r w:rsidR="00884973">
        <w:t>s are expected to be surrendered on behalf of the product facility,</w:t>
      </w:r>
      <w:r w:rsidR="00884973" w:rsidRPr="00884973">
        <w:t xml:space="preserve"> </w:t>
      </w:r>
      <w:r w:rsidR="00884973">
        <w:t xml:space="preserve">detailed in the table below. The ARPP values in the table below </w:t>
      </w:r>
      <w:r w:rsidR="003427C6">
        <w:t>can</w:t>
      </w:r>
      <w:r w:rsidR="00884973">
        <w:t xml:space="preserve"> be added together where multiple conditions are met. For example, a non-EITE entity with a 30% GreenPower accredited level would have an ARPP of 48.96%.</w:t>
      </w:r>
    </w:p>
    <w:p w14:paraId="2656156F" w14:textId="6B2F8F20" w:rsidR="001A2056" w:rsidRDefault="00AF3D3B" w:rsidP="00C31992">
      <w:r>
        <w:t xml:space="preserve">The direct and indirect surrenders are </w:t>
      </w:r>
      <w:r w:rsidR="00854E58">
        <w:t xml:space="preserve">removed from the total quantity of </w:t>
      </w:r>
      <w:r w:rsidR="002B2112">
        <w:t xml:space="preserve">grid sourced </w:t>
      </w:r>
      <w:r w:rsidR="00854E58">
        <w:t xml:space="preserve">electricity </w:t>
      </w:r>
      <w:r w:rsidR="00ED7363">
        <w:t xml:space="preserve">consumed </w:t>
      </w:r>
      <w:r w:rsidR="00FC5100">
        <w:t xml:space="preserve">in the production boundary. </w:t>
      </w:r>
      <w:r w:rsidR="0059280C">
        <w:t>The residual amount of electricity is then multiplied by a</w:t>
      </w:r>
      <w:r w:rsidR="00050B62">
        <w:t xml:space="preserve"> residual mix factor</w:t>
      </w:r>
      <w:r w:rsidR="0059280C">
        <w:t xml:space="preserve"> represent</w:t>
      </w:r>
      <w:r w:rsidR="00050B62">
        <w:t xml:space="preserve">ing </w:t>
      </w:r>
      <w:r w:rsidR="0059280C">
        <w:t xml:space="preserve">the scope 2 and scope 3 </w:t>
      </w:r>
      <w:r w:rsidR="00415C9E">
        <w:t xml:space="preserve">emissions associated with the residual energy mix. </w:t>
      </w:r>
    </w:p>
    <w:p w14:paraId="36863511" w14:textId="71BB607C" w:rsidR="00A6181C" w:rsidRDefault="00A6181C" w:rsidP="00A6181C">
      <w:r>
        <w:t>The RMF is proposed to be sourced from Table 1 of the NGA Factors workbook</w:t>
      </w:r>
      <w:r w:rsidRPr="00560362">
        <w:rPr>
          <w:vertAlign w:val="superscript"/>
        </w:rPr>
        <w:fldChar w:fldCharType="begin"/>
      </w:r>
      <w:r w:rsidRPr="00560362">
        <w:rPr>
          <w:vertAlign w:val="superscript"/>
        </w:rPr>
        <w:instrText xml:space="preserve"> NOTEREF _Ref142576756 \h </w:instrText>
      </w:r>
      <w:r>
        <w:rPr>
          <w:vertAlign w:val="superscript"/>
        </w:rPr>
        <w:instrText xml:space="preserve"> \* MERGEFORMAT </w:instrText>
      </w:r>
      <w:r w:rsidRPr="00560362">
        <w:rPr>
          <w:vertAlign w:val="superscript"/>
        </w:rPr>
      </w:r>
      <w:r w:rsidRPr="00560362">
        <w:rPr>
          <w:vertAlign w:val="superscript"/>
        </w:rPr>
        <w:fldChar w:fldCharType="separate"/>
      </w:r>
      <w:r w:rsidR="00785FEC">
        <w:rPr>
          <w:vertAlign w:val="superscript"/>
        </w:rPr>
        <w:t>2</w:t>
      </w:r>
      <w:r w:rsidRPr="00560362">
        <w:rPr>
          <w:vertAlign w:val="superscript"/>
        </w:rPr>
        <w:fldChar w:fldCharType="end"/>
      </w:r>
      <w:r>
        <w:t>. The GO scheme will initially utilise a national RMF rather than a state or territory</w:t>
      </w:r>
      <w:r w:rsidR="00E71540">
        <w:t xml:space="preserve">, or </w:t>
      </w:r>
      <w:r w:rsidR="003517B4">
        <w:t>source</w:t>
      </w:r>
      <w:r>
        <w:t xml:space="preserve"> specific RMF. This position is consistent with the NGER approach to accounting for electricity emissions. This may be revised as the GO scheme expands to include optional time and location matching. </w:t>
      </w:r>
    </w:p>
    <w:p w14:paraId="0FCD8E0D" w14:textId="682BAE09" w:rsidR="00A6181C" w:rsidRDefault="00A6181C" w:rsidP="00410496">
      <w:pPr>
        <w:pStyle w:val="Table"/>
        <w:keepNext/>
        <w:spacing w:before="200"/>
      </w:pPr>
      <w:r>
        <w:t>Table</w:t>
      </w:r>
      <w:r w:rsidR="008941FC">
        <w:t xml:space="preserve"> 3.2 </w:t>
      </w:r>
      <w:r>
        <w:t>Applicable Renewable Power Percentage</w:t>
      </w:r>
    </w:p>
    <w:tbl>
      <w:tblPr>
        <w:tblStyle w:val="ListTable4-Accent3"/>
        <w:tblW w:w="5000" w:type="pct"/>
        <w:tblLook w:val="04A0" w:firstRow="1" w:lastRow="0" w:firstColumn="1" w:lastColumn="0" w:noHBand="0" w:noVBand="1"/>
      </w:tblPr>
      <w:tblGrid>
        <w:gridCol w:w="3539"/>
        <w:gridCol w:w="3403"/>
        <w:gridCol w:w="2074"/>
      </w:tblGrid>
      <w:tr w:rsidR="00A6181C" w:rsidRPr="007A1A12" w14:paraId="534E244D" w14:textId="77777777" w:rsidTr="00B6736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63" w:type="pct"/>
            <w:vAlign w:val="center"/>
          </w:tcPr>
          <w:p w14:paraId="5BCF4F4E" w14:textId="77777777" w:rsidR="00A6181C" w:rsidRPr="00C474EF" w:rsidRDefault="00A6181C">
            <w:pPr>
              <w:rPr>
                <w:color w:val="auto"/>
              </w:rPr>
            </w:pPr>
            <w:r w:rsidRPr="00C474EF">
              <w:rPr>
                <w:color w:val="auto"/>
              </w:rPr>
              <w:t>Category</w:t>
            </w:r>
          </w:p>
        </w:tc>
        <w:tc>
          <w:tcPr>
            <w:tcW w:w="1887" w:type="pct"/>
            <w:vAlign w:val="center"/>
          </w:tcPr>
          <w:p w14:paraId="3B224139" w14:textId="77777777" w:rsidR="00A6181C" w:rsidRPr="00C474EF" w:rsidRDefault="00A6181C">
            <w:pPr>
              <w:cnfStyle w:val="100000000000" w:firstRow="1" w:lastRow="0" w:firstColumn="0" w:lastColumn="0" w:oddVBand="0" w:evenVBand="0" w:oddHBand="0" w:evenHBand="0" w:firstRowFirstColumn="0" w:firstRowLastColumn="0" w:lastRowFirstColumn="0" w:lastRowLastColumn="0"/>
              <w:rPr>
                <w:color w:val="auto"/>
              </w:rPr>
            </w:pPr>
            <w:r w:rsidRPr="00C474EF">
              <w:rPr>
                <w:color w:val="auto"/>
              </w:rPr>
              <w:t>Condition</w:t>
            </w:r>
          </w:p>
        </w:tc>
        <w:tc>
          <w:tcPr>
            <w:tcW w:w="1151" w:type="pct"/>
            <w:vAlign w:val="center"/>
          </w:tcPr>
          <w:p w14:paraId="2C2CF20A" w14:textId="77777777" w:rsidR="00A6181C" w:rsidRPr="00C474EF" w:rsidRDefault="00A6181C">
            <w:pPr>
              <w:cnfStyle w:val="100000000000" w:firstRow="1" w:lastRow="0" w:firstColumn="0" w:lastColumn="0" w:oddVBand="0" w:evenVBand="0" w:oddHBand="0" w:evenHBand="0" w:firstRowFirstColumn="0" w:firstRowLastColumn="0" w:lastRowFirstColumn="0" w:lastRowLastColumn="0"/>
              <w:rPr>
                <w:color w:val="auto"/>
              </w:rPr>
            </w:pPr>
            <w:r w:rsidRPr="00C474EF">
              <w:rPr>
                <w:color w:val="auto"/>
              </w:rPr>
              <w:t>ARPP value</w:t>
            </w:r>
          </w:p>
        </w:tc>
      </w:tr>
      <w:tr w:rsidR="00A6181C" w14:paraId="5EA3F9DA" w14:textId="77777777" w:rsidTr="00B6736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63" w:type="pct"/>
            <w:vAlign w:val="center"/>
          </w:tcPr>
          <w:p w14:paraId="77D3806D" w14:textId="77777777" w:rsidR="00A6181C" w:rsidRDefault="00A6181C">
            <w:r>
              <w:t>EITE Entity</w:t>
            </w:r>
          </w:p>
        </w:tc>
        <w:tc>
          <w:tcPr>
            <w:tcW w:w="1887" w:type="pct"/>
            <w:vAlign w:val="center"/>
          </w:tcPr>
          <w:p w14:paraId="07F2C95E" w14:textId="77777777" w:rsidR="00A6181C" w:rsidRDefault="00A6181C">
            <w:pPr>
              <w:cnfStyle w:val="000000100000" w:firstRow="0" w:lastRow="0" w:firstColumn="0" w:lastColumn="0" w:oddVBand="0" w:evenVBand="0" w:oddHBand="1" w:evenHBand="0" w:firstRowFirstColumn="0" w:firstRowLastColumn="0" w:lastRowFirstColumn="0" w:lastRowLastColumn="0"/>
            </w:pPr>
            <w:r>
              <w:t>Product facility is an EITE entity</w:t>
            </w:r>
          </w:p>
        </w:tc>
        <w:tc>
          <w:tcPr>
            <w:tcW w:w="1151" w:type="pct"/>
            <w:vAlign w:val="center"/>
          </w:tcPr>
          <w:p w14:paraId="0823C0B1" w14:textId="77777777" w:rsidR="00A6181C" w:rsidRDefault="00A6181C">
            <w:pPr>
              <w:cnfStyle w:val="000000100000" w:firstRow="0" w:lastRow="0" w:firstColumn="0" w:lastColumn="0" w:oddVBand="0" w:evenVBand="0" w:oddHBand="1" w:evenHBand="0" w:firstRowFirstColumn="0" w:firstRowLastColumn="0" w:lastRowFirstColumn="0" w:lastRowLastColumn="0"/>
            </w:pPr>
            <w:r>
              <w:t>0%</w:t>
            </w:r>
          </w:p>
        </w:tc>
      </w:tr>
      <w:tr w:rsidR="00A6181C" w14:paraId="28B32289" w14:textId="77777777" w:rsidTr="00B67361">
        <w:trPr>
          <w:trHeight w:val="283"/>
        </w:trPr>
        <w:tc>
          <w:tcPr>
            <w:cnfStyle w:val="001000000000" w:firstRow="0" w:lastRow="0" w:firstColumn="1" w:lastColumn="0" w:oddVBand="0" w:evenVBand="0" w:oddHBand="0" w:evenHBand="0" w:firstRowFirstColumn="0" w:firstRowLastColumn="0" w:lastRowFirstColumn="0" w:lastRowLastColumn="0"/>
            <w:tcW w:w="1963" w:type="pct"/>
            <w:vAlign w:val="center"/>
          </w:tcPr>
          <w:p w14:paraId="53B4F8D6" w14:textId="77777777" w:rsidR="00A6181C" w:rsidRDefault="00A6181C">
            <w:r w:rsidRPr="147E5FC0">
              <w:rPr>
                <w:rFonts w:eastAsiaTheme="minorEastAsia"/>
                <w:color w:val="202124"/>
              </w:rPr>
              <w:t>Renewable Power Percentage</w:t>
            </w:r>
            <w:r w:rsidRPr="147E5FC0">
              <w:rPr>
                <w:rFonts w:ascii="Calibri" w:eastAsia="Calibri" w:hAnsi="Calibri" w:cs="Calibri"/>
              </w:rPr>
              <w:t xml:space="preserve"> (</w:t>
            </w:r>
            <w:r>
              <w:t>RPP)</w:t>
            </w:r>
          </w:p>
        </w:tc>
        <w:tc>
          <w:tcPr>
            <w:tcW w:w="1887" w:type="pct"/>
            <w:vAlign w:val="center"/>
          </w:tcPr>
          <w:p w14:paraId="60BAFF02" w14:textId="77777777" w:rsidR="00A6181C" w:rsidRDefault="00A6181C">
            <w:pPr>
              <w:cnfStyle w:val="000000000000" w:firstRow="0" w:lastRow="0" w:firstColumn="0" w:lastColumn="0" w:oddVBand="0" w:evenVBand="0" w:oddHBand="0" w:evenHBand="0" w:firstRowFirstColumn="0" w:firstRowLastColumn="0" w:lastRowFirstColumn="0" w:lastRowLastColumn="0"/>
            </w:pPr>
            <w:r>
              <w:t>Product facility included in RPP</w:t>
            </w:r>
          </w:p>
        </w:tc>
        <w:tc>
          <w:tcPr>
            <w:tcW w:w="1151" w:type="pct"/>
            <w:vAlign w:val="center"/>
          </w:tcPr>
          <w:p w14:paraId="00D5E4B2" w14:textId="77777777" w:rsidR="00A6181C" w:rsidRDefault="00A6181C">
            <w:pPr>
              <w:cnfStyle w:val="000000000000" w:firstRow="0" w:lastRow="0" w:firstColumn="0" w:lastColumn="0" w:oddVBand="0" w:evenVBand="0" w:oddHBand="0" w:evenHBand="0" w:firstRowFirstColumn="0" w:firstRowLastColumn="0" w:lastRowFirstColumn="0" w:lastRowLastColumn="0"/>
            </w:pPr>
            <w:r>
              <w:t>18.96%</w:t>
            </w:r>
          </w:p>
        </w:tc>
      </w:tr>
      <w:tr w:rsidR="00A6181C" w14:paraId="74B09699" w14:textId="77777777" w:rsidTr="00B6736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63" w:type="pct"/>
            <w:vAlign w:val="center"/>
          </w:tcPr>
          <w:p w14:paraId="7B409924" w14:textId="77777777" w:rsidR="00A6181C" w:rsidRDefault="00A6181C">
            <w:r>
              <w:t>ACT Jurisdictional Target</w:t>
            </w:r>
          </w:p>
        </w:tc>
        <w:tc>
          <w:tcPr>
            <w:tcW w:w="1887" w:type="pct"/>
            <w:vAlign w:val="center"/>
          </w:tcPr>
          <w:p w14:paraId="783FE855" w14:textId="77777777" w:rsidR="00A6181C" w:rsidRDefault="00A6181C">
            <w:pPr>
              <w:cnfStyle w:val="000000100000" w:firstRow="0" w:lastRow="0" w:firstColumn="0" w:lastColumn="0" w:oddVBand="0" w:evenVBand="0" w:oddHBand="1" w:evenHBand="0" w:firstRowFirstColumn="0" w:firstRowLastColumn="0" w:lastRowFirstColumn="0" w:lastRowLastColumn="0"/>
            </w:pPr>
            <w:r>
              <w:t>Product facility in ACT</w:t>
            </w:r>
          </w:p>
        </w:tc>
        <w:tc>
          <w:tcPr>
            <w:tcW w:w="1151" w:type="pct"/>
            <w:vAlign w:val="center"/>
          </w:tcPr>
          <w:p w14:paraId="46C0FCD7" w14:textId="77777777" w:rsidR="00A6181C" w:rsidRDefault="00A6181C">
            <w:pPr>
              <w:cnfStyle w:val="000000100000" w:firstRow="0" w:lastRow="0" w:firstColumn="0" w:lastColumn="0" w:oddVBand="0" w:evenVBand="0" w:oddHBand="1" w:evenHBand="0" w:firstRowFirstColumn="0" w:firstRowLastColumn="0" w:lastRowFirstColumn="0" w:lastRowLastColumn="0"/>
            </w:pPr>
            <w:r>
              <w:t>72.39%</w:t>
            </w:r>
          </w:p>
        </w:tc>
      </w:tr>
      <w:tr w:rsidR="00A6181C" w14:paraId="51BF2D1B" w14:textId="77777777" w:rsidTr="00B67361">
        <w:trPr>
          <w:trHeight w:val="567"/>
        </w:trPr>
        <w:tc>
          <w:tcPr>
            <w:cnfStyle w:val="001000000000" w:firstRow="0" w:lastRow="0" w:firstColumn="1" w:lastColumn="0" w:oddVBand="0" w:evenVBand="0" w:oddHBand="0" w:evenHBand="0" w:firstRowFirstColumn="0" w:firstRowLastColumn="0" w:lastRowFirstColumn="0" w:lastRowLastColumn="0"/>
            <w:tcW w:w="1963" w:type="pct"/>
            <w:vAlign w:val="center"/>
          </w:tcPr>
          <w:p w14:paraId="358E6B43" w14:textId="77777777" w:rsidR="00A6181C" w:rsidRDefault="00A6181C">
            <w:r>
              <w:t>GreenPower</w:t>
            </w:r>
          </w:p>
        </w:tc>
        <w:tc>
          <w:tcPr>
            <w:tcW w:w="1887" w:type="pct"/>
            <w:vAlign w:val="center"/>
          </w:tcPr>
          <w:p w14:paraId="33B5B099" w14:textId="77777777" w:rsidR="00A6181C" w:rsidRDefault="00A6181C">
            <w:pPr>
              <w:cnfStyle w:val="000000000000" w:firstRow="0" w:lastRow="0" w:firstColumn="0" w:lastColumn="0" w:oddVBand="0" w:evenVBand="0" w:oddHBand="0" w:evenHBand="0" w:firstRowFirstColumn="0" w:firstRowLastColumn="0" w:lastRowFirstColumn="0" w:lastRowLastColumn="0"/>
            </w:pPr>
            <w:r>
              <w:t>Product facility participates in GreenPower program</w:t>
            </w:r>
          </w:p>
        </w:tc>
        <w:tc>
          <w:tcPr>
            <w:tcW w:w="1151" w:type="pct"/>
            <w:vAlign w:val="center"/>
          </w:tcPr>
          <w:p w14:paraId="5C44AD74" w14:textId="77777777" w:rsidR="00A6181C" w:rsidRDefault="00A6181C">
            <w:pPr>
              <w:cnfStyle w:val="000000000000" w:firstRow="0" w:lastRow="0" w:firstColumn="0" w:lastColumn="0" w:oddVBand="0" w:evenVBand="0" w:oddHBand="0" w:evenHBand="0" w:firstRowFirstColumn="0" w:firstRowLastColumn="0" w:lastRowFirstColumn="0" w:lastRowLastColumn="0"/>
            </w:pPr>
            <w:r>
              <w:t>Determinant*</w:t>
            </w:r>
          </w:p>
        </w:tc>
      </w:tr>
    </w:tbl>
    <w:p w14:paraId="2E324937" w14:textId="77777777" w:rsidR="00A6181C" w:rsidRPr="00210FE3" w:rsidRDefault="00A6181C" w:rsidP="00210FE3">
      <w:pPr>
        <w:spacing w:before="120"/>
        <w:rPr>
          <w:sz w:val="21"/>
          <w:szCs w:val="21"/>
        </w:rPr>
      </w:pPr>
      <w:r w:rsidRPr="00210FE3">
        <w:rPr>
          <w:sz w:val="21"/>
          <w:szCs w:val="21"/>
        </w:rPr>
        <w:t xml:space="preserve">*The ARPP depends on the GreenPower accredited level of electricity consumed by the Product Facility. </w:t>
      </w:r>
    </w:p>
    <w:p w14:paraId="4FAFAA0C" w14:textId="741A5D88" w:rsidR="00A71CD0" w:rsidRDefault="00A71CD0" w:rsidP="00A71CD0">
      <w:pPr>
        <w:pStyle w:val="Calloutbox"/>
        <w:spacing w:after="120"/>
        <w:contextualSpacing w:val="0"/>
        <w:rPr>
          <w:b/>
          <w:bCs/>
        </w:rPr>
      </w:pPr>
      <w:r>
        <w:rPr>
          <w:b/>
          <w:bCs/>
        </w:rPr>
        <w:t xml:space="preserve">GO Calculator user guide – </w:t>
      </w:r>
      <w:r w:rsidR="00241B94">
        <w:rPr>
          <w:b/>
          <w:bCs/>
        </w:rPr>
        <w:t xml:space="preserve">‘Electricity Usage’ </w:t>
      </w:r>
      <w:r w:rsidR="00150FA7">
        <w:rPr>
          <w:b/>
          <w:bCs/>
        </w:rPr>
        <w:t xml:space="preserve">tab </w:t>
      </w:r>
    </w:p>
    <w:p w14:paraId="6534EE57" w14:textId="77777777" w:rsidR="00F64E4A" w:rsidRDefault="002F1E23" w:rsidP="00543329">
      <w:pPr>
        <w:pStyle w:val="Calloutbox"/>
        <w:contextualSpacing w:val="0"/>
      </w:pPr>
      <w:r>
        <w:t xml:space="preserve">The GO Calculator </w:t>
      </w:r>
      <w:r w:rsidR="005B5C74">
        <w:t xml:space="preserve">provides an ‘Electricity Usage’ tab for users to input the quantities and sources of </w:t>
      </w:r>
      <w:r w:rsidR="005921B3">
        <w:t xml:space="preserve">electricity used in </w:t>
      </w:r>
      <w:r w:rsidR="0051527D">
        <w:t xml:space="preserve">the </w:t>
      </w:r>
      <w:r w:rsidR="005921B3">
        <w:t>production</w:t>
      </w:r>
      <w:r w:rsidR="00BC4C44">
        <w:t xml:space="preserve"> </w:t>
      </w:r>
      <w:r w:rsidR="0051527D">
        <w:t>boundary.</w:t>
      </w:r>
    </w:p>
    <w:p w14:paraId="6FF4DB02" w14:textId="6141BD1D" w:rsidR="00C2050A" w:rsidRDefault="00D220FC" w:rsidP="00543329">
      <w:pPr>
        <w:pStyle w:val="Calloutbox"/>
        <w:contextualSpacing w:val="0"/>
      </w:pPr>
      <w:r>
        <w:t xml:space="preserve">Users need to provide </w:t>
      </w:r>
      <w:r w:rsidR="0051527D">
        <w:t xml:space="preserve">relevant </w:t>
      </w:r>
      <w:r>
        <w:t xml:space="preserve">inputs in the </w:t>
      </w:r>
      <w:r w:rsidR="00CC2D06" w:rsidRPr="007161B9">
        <w:rPr>
          <w:i/>
          <w:iCs/>
        </w:rPr>
        <w:t>GRID ELECTRICITY</w:t>
      </w:r>
      <w:r w:rsidR="00407594">
        <w:rPr>
          <w:i/>
          <w:iCs/>
        </w:rPr>
        <w:t xml:space="preserve"> INPUTS</w:t>
      </w:r>
      <w:r w:rsidR="0095701B" w:rsidRPr="007161B9">
        <w:rPr>
          <w:i/>
          <w:iCs/>
        </w:rPr>
        <w:t xml:space="preserve">, </w:t>
      </w:r>
      <w:r w:rsidR="00CC2D06" w:rsidRPr="007161B9">
        <w:rPr>
          <w:i/>
          <w:iCs/>
        </w:rPr>
        <w:t>RENEWABLE ELECTRICITY INPUTS</w:t>
      </w:r>
      <w:r w:rsidR="00AC2D39" w:rsidRPr="007161B9">
        <w:rPr>
          <w:i/>
          <w:iCs/>
        </w:rPr>
        <w:t xml:space="preserve">, </w:t>
      </w:r>
      <w:r w:rsidR="00CC2D06" w:rsidRPr="007161B9">
        <w:rPr>
          <w:i/>
          <w:iCs/>
        </w:rPr>
        <w:t>ELECTRICITY GENERATION VIA FUEL COMBUSTION</w:t>
      </w:r>
      <w:r w:rsidR="00CC2D06">
        <w:t xml:space="preserve">, and </w:t>
      </w:r>
      <w:r w:rsidR="00CC2D06" w:rsidRPr="007161B9">
        <w:rPr>
          <w:i/>
          <w:iCs/>
        </w:rPr>
        <w:t xml:space="preserve">ELECTRICITY GENERATION VIA </w:t>
      </w:r>
      <w:r w:rsidR="00E54ED4">
        <w:rPr>
          <w:i/>
          <w:iCs/>
        </w:rPr>
        <w:t>COMBINED HEAT AND POWER (</w:t>
      </w:r>
      <w:r w:rsidR="00CC2D06" w:rsidRPr="007161B9">
        <w:rPr>
          <w:i/>
          <w:iCs/>
        </w:rPr>
        <w:t>CHP</w:t>
      </w:r>
      <w:r w:rsidR="00E54ED4">
        <w:rPr>
          <w:i/>
          <w:iCs/>
        </w:rPr>
        <w:t>) sections</w:t>
      </w:r>
      <w:r w:rsidR="00CC2D06">
        <w:t xml:space="preserve">. </w:t>
      </w:r>
      <w:r w:rsidR="00D71E7C">
        <w:t>These inputs enable the emissions associated with electricity to be calculated, as well as the percentage of electricity that is renewable.</w:t>
      </w:r>
    </w:p>
    <w:p w14:paraId="77892C36" w14:textId="71BC1C2B" w:rsidR="00AE540B" w:rsidRDefault="00C2050A" w:rsidP="009E74FD">
      <w:pPr>
        <w:pStyle w:val="Calloutbox"/>
        <w:contextualSpacing w:val="0"/>
      </w:pPr>
      <w:r>
        <w:t xml:space="preserve">Once these inputs are provided </w:t>
      </w:r>
      <w:r w:rsidR="00BF60AE">
        <w:t xml:space="preserve">emissions associated with </w:t>
      </w:r>
      <w:r>
        <w:t xml:space="preserve">electricity </w:t>
      </w:r>
      <w:r w:rsidR="00BF60AE">
        <w:t xml:space="preserve">usage </w:t>
      </w:r>
      <w:r>
        <w:t xml:space="preserve">will be calculated </w:t>
      </w:r>
      <w:r w:rsidR="007161B9">
        <w:t>using the grid electricity emissions and combustion emissions approaches.</w:t>
      </w:r>
    </w:p>
    <w:tbl>
      <w:tblPr>
        <w:tblStyle w:val="CERCallout"/>
        <w:tblpPr w:leftFromText="180" w:rightFromText="180" w:vertAnchor="text" w:horzAnchor="margin" w:tblpY="181"/>
        <w:tblW w:w="5000" w:type="pct"/>
        <w:tblLook w:val="0480" w:firstRow="0" w:lastRow="0" w:firstColumn="1" w:lastColumn="0" w:noHBand="0" w:noVBand="1"/>
        <w:tblCaption w:val="test"/>
        <w:tblDescription w:val="tesst"/>
      </w:tblPr>
      <w:tblGrid>
        <w:gridCol w:w="8996"/>
      </w:tblGrid>
      <w:tr w:rsidR="00AE540B" w14:paraId="3C588593" w14:textId="77777777" w:rsidTr="00AE540B">
        <w:trPr>
          <w:cantSplit w:val="0"/>
        </w:trPr>
        <w:tc>
          <w:tcPr>
            <w:tcW w:w="5000" w:type="pct"/>
          </w:tcPr>
          <w:p w14:paraId="3122B073" w14:textId="77777777" w:rsidR="00AE540B" w:rsidRPr="00C209F1" w:rsidRDefault="00AE540B" w:rsidP="00AE540B">
            <w:pPr>
              <w:pStyle w:val="Heading4"/>
              <w:numPr>
                <w:ilvl w:val="0"/>
                <w:numId w:val="0"/>
              </w:numPr>
              <w:spacing w:before="0" w:beforeAutospacing="0" w:after="160"/>
              <w:rPr>
                <w:b/>
                <w:bCs/>
                <w:i w:val="0"/>
                <w:iCs/>
              </w:rPr>
            </w:pPr>
            <w:r>
              <w:rPr>
                <w:b/>
                <w:bCs/>
                <w:i w:val="0"/>
                <w:iCs/>
              </w:rPr>
              <w:t>Grid electricity emissions in practice</w:t>
            </w:r>
          </w:p>
          <w:p w14:paraId="1AD7F12A" w14:textId="6C1BB100" w:rsidR="00AE540B" w:rsidRDefault="00AE540B" w:rsidP="00AE540B">
            <w:pPr>
              <w:spacing w:before="0" w:beforeAutospacing="0" w:after="160"/>
            </w:pPr>
            <w:r>
              <w:t>Facility A is not an EITE entity and has consumed 1000 MWh of electricity from the local distribution grid. They have also generated and consumed 100 MWh of renewable electricity from a behind the meter solar system, which also created LGCs. In addition, they have surrendered 500 REGO</w:t>
            </w:r>
            <w:r w:rsidR="00191EC0">
              <w:t xml:space="preserve"> Certificate</w:t>
            </w:r>
            <w:r>
              <w:t xml:space="preserve">s and signed up for 30% renewable electricity through GreenPower. </w:t>
            </w:r>
          </w:p>
          <w:p w14:paraId="694B9360" w14:textId="77777777" w:rsidR="00AE540B" w:rsidRDefault="00AE540B" w:rsidP="00AE540B">
            <w:pPr>
              <w:spacing w:before="0" w:beforeAutospacing="0" w:after="160"/>
            </w:pPr>
            <w:r>
              <w:t>The proposed approach to calculating electricity emissions is:</w:t>
            </w:r>
          </w:p>
          <w:p w14:paraId="1361AFC8" w14:textId="74A76FD0" w:rsidR="00AE540B" w:rsidRPr="0065548F" w:rsidRDefault="00015FB3" w:rsidP="00AE540B">
            <w:pPr>
              <w:spacing w:before="0" w:beforeAutospacing="0" w:after="160" w:line="259" w:lineRule="auto"/>
              <w:ind w:left="0" w:right="0"/>
              <w:rPr>
                <w:b/>
                <w:sz w:val="22"/>
                <w:szCs w:val="22"/>
                <w:lang w:eastAsia="en-US"/>
              </w:rPr>
            </w:pPr>
            <m:oMathPara>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electricity</m:t>
                    </m:r>
                  </m:sub>
                </m:sSub>
                <m:r>
                  <m:rPr>
                    <m:sty m:val="bi"/>
                  </m:rPr>
                  <w:rPr>
                    <w:rFonts w:ascii="Cambria Math" w:hAnsi="Cambria Math"/>
                  </w:rPr>
                  <m:t>=</m:t>
                </m:r>
                <m:d>
                  <m:dPr>
                    <m:ctrlPr>
                      <w:rPr>
                        <w:rFonts w:ascii="Cambria Math" w:hAnsi="Cambria Math"/>
                        <w:b/>
                        <w:bCs/>
                        <w:i/>
                      </w:rPr>
                    </m:ctrlPr>
                  </m:dPr>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grid</m:t>
                            </m:r>
                          </m:sub>
                        </m:sSub>
                        <m:r>
                          <m:rPr>
                            <m:sty m:val="bi"/>
                          </m:rPr>
                          <w:rPr>
                            <w:rFonts w:ascii="Cambria Math" w:hAnsi="Cambria Math"/>
                          </w:rPr>
                          <m:t>×</m:t>
                        </m:r>
                        <m:d>
                          <m:dPr>
                            <m:ctrlPr>
                              <w:rPr>
                                <w:rFonts w:ascii="Cambria Math" w:hAnsi="Cambria Math"/>
                                <w:b/>
                                <w:bCs/>
                                <w:i/>
                              </w:rPr>
                            </m:ctrlPr>
                          </m:dPr>
                          <m:e>
                            <m:r>
                              <m:rPr>
                                <m:sty m:val="bi"/>
                              </m:rPr>
                              <w:rPr>
                                <w:rFonts w:ascii="Cambria Math" w:hAnsi="Cambria Math"/>
                              </w:rPr>
                              <m:t>1-ARPP</m:t>
                            </m:r>
                          </m:e>
                        </m:d>
                      </m:e>
                    </m:d>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RECs</m:t>
                        </m:r>
                      </m:sub>
                    </m:sSub>
                  </m:e>
                </m:d>
                <m:r>
                  <m:rPr>
                    <m:sty m:val="bi"/>
                  </m:rPr>
                  <w:rPr>
                    <w:rFonts w:ascii="Cambria Math" w:hAnsi="Cambria Math"/>
                  </w:rPr>
                  <m:t>×RMF</m:t>
                </m:r>
              </m:oMath>
            </m:oMathPara>
          </w:p>
          <w:p w14:paraId="25A14055" w14:textId="77777777" w:rsidR="00AE540B" w:rsidRDefault="00AE540B" w:rsidP="00AE540B">
            <w:pPr>
              <w:spacing w:before="0" w:beforeAutospacing="0" w:after="160" w:line="259" w:lineRule="auto"/>
              <w:ind w:left="251" w:right="0"/>
              <w:rPr>
                <w:sz w:val="22"/>
                <w:szCs w:val="22"/>
                <w:lang w:eastAsia="en-US"/>
              </w:rPr>
            </w:pPr>
            <w:r>
              <w:t>Where:</w:t>
            </w:r>
          </w:p>
          <w:p w14:paraId="362DCAF5" w14:textId="77777777" w:rsidR="00AE540B" w:rsidRDefault="00785FEC" w:rsidP="00AE540B">
            <w:pPr>
              <w:spacing w:before="0" w:beforeAutospacing="0" w:after="160" w:line="259" w:lineRule="auto"/>
              <w:ind w:left="251" w:right="0"/>
              <w:rPr>
                <w:sz w:val="22"/>
                <w:szCs w:val="22"/>
                <w:lang w:eastAsia="en-US"/>
              </w:rPr>
            </w:pPr>
            <m:oMath>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grid</m:t>
                  </m:r>
                </m:sub>
              </m:sSub>
            </m:oMath>
            <w:r w:rsidR="00AE540B">
              <w:t xml:space="preserve"> is the quantity of electricity consumed from the grid,</w:t>
            </w:r>
          </w:p>
          <w:p w14:paraId="15CFD6D3" w14:textId="77777777" w:rsidR="00AE540B" w:rsidRDefault="0003312C" w:rsidP="00AE540B">
            <w:pPr>
              <w:spacing w:before="0" w:beforeAutospacing="0" w:after="160" w:line="259" w:lineRule="auto"/>
              <w:ind w:left="251" w:right="0"/>
              <w:rPr>
                <w:sz w:val="22"/>
                <w:szCs w:val="22"/>
                <w:lang w:eastAsia="en-US"/>
              </w:rPr>
            </w:pPr>
            <m:oMath>
              <m:r>
                <m:rPr>
                  <m:sty m:val="bi"/>
                </m:rPr>
                <w:rPr>
                  <w:rFonts w:ascii="Cambria Math" w:hAnsi="Cambria Math"/>
                </w:rPr>
                <m:t>ARPP</m:t>
              </m:r>
            </m:oMath>
            <w:r w:rsidR="00AE540B">
              <w:t xml:space="preserve"> is the applicable renewable power percentage for the product facility,</w:t>
            </w:r>
          </w:p>
          <w:p w14:paraId="61710A82" w14:textId="6073FF57" w:rsidR="00AE540B" w:rsidRDefault="00785FEC" w:rsidP="00AE540B">
            <w:pPr>
              <w:spacing w:before="0" w:beforeAutospacing="0" w:after="160" w:line="259" w:lineRule="auto"/>
              <w:ind w:left="251" w:right="0"/>
            </w:pPr>
            <m:oMath>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RECs</m:t>
                  </m:r>
                </m:sub>
              </m:sSub>
            </m:oMath>
            <w:r w:rsidR="00AE540B">
              <w:t xml:space="preserve"> is the quantity of REGO</w:t>
            </w:r>
            <w:r w:rsidR="00191EC0">
              <w:t xml:space="preserve"> Certificate</w:t>
            </w:r>
            <w:r w:rsidR="00AE540B">
              <w:t>s and LGCs surrendered by Facility A to demonstrate renewable electricity use for the Product GO certificate, and</w:t>
            </w:r>
          </w:p>
          <w:p w14:paraId="48ACFD5C" w14:textId="77777777" w:rsidR="00AE540B" w:rsidRDefault="0003312C" w:rsidP="00AE540B">
            <w:pPr>
              <w:spacing w:before="0" w:beforeAutospacing="0" w:after="160" w:line="259" w:lineRule="auto"/>
              <w:ind w:left="251" w:right="0"/>
              <w:rPr>
                <w:sz w:val="22"/>
                <w:szCs w:val="22"/>
                <w:lang w:eastAsia="en-US"/>
              </w:rPr>
            </w:pPr>
            <m:oMath>
              <m:r>
                <m:rPr>
                  <m:sty m:val="bi"/>
                </m:rPr>
                <w:rPr>
                  <w:rFonts w:ascii="Cambria Math" w:hAnsi="Cambria Math"/>
                </w:rPr>
                <m:t>RMF</m:t>
              </m:r>
            </m:oMath>
            <w:r w:rsidR="00AE540B">
              <w:t xml:space="preserve"> is the national residual mix factor that is applied to the quantity of electricity without a renewable claim.</w:t>
            </w:r>
          </w:p>
          <w:p w14:paraId="2F808DFC" w14:textId="0B64FA7B" w:rsidR="00AE540B" w:rsidRPr="000F285B" w:rsidRDefault="00AE540B" w:rsidP="00AE540B">
            <w:pPr>
              <w:spacing w:before="0" w:beforeAutospacing="0" w:after="160"/>
            </w:pPr>
            <w:r>
              <w:t>From the example above the quantity of electricity consumed from the grid is 1,100 MWh. The behind the meter generation is treated as electricity from the grid as certificates were created for it. The ARPP for the product facility is 0.4896, after combining the RPP and GreenPower percentage. The quantity of REGO</w:t>
            </w:r>
            <w:r w:rsidR="00191EC0">
              <w:t xml:space="preserve"> Certificate</w:t>
            </w:r>
            <w:r>
              <w:t xml:space="preserve">s surrendered is 500, and the RMF is 0.73. Substituting into the above equation results in </w:t>
            </w:r>
          </w:p>
          <w:p w14:paraId="71D3D509" w14:textId="6A3D79E8" w:rsidR="00AE540B" w:rsidRPr="0065548F" w:rsidRDefault="00015FB3" w:rsidP="00AE540B">
            <w:pPr>
              <w:spacing w:before="0" w:beforeAutospacing="0" w:after="160" w:line="259" w:lineRule="auto"/>
              <w:ind w:left="0" w:right="0"/>
              <w:rPr>
                <w:b/>
                <w:sz w:val="22"/>
                <w:szCs w:val="22"/>
                <w:lang w:eastAsia="en-US"/>
              </w:rPr>
            </w:pPr>
            <m:oMathPara>
              <m:oMath>
                <m:r>
                  <m:rPr>
                    <m:sty m:val="bi"/>
                  </m:rPr>
                  <w:rPr>
                    <w:rFonts w:ascii="Cambria Math" w:hAnsi="Cambria Math"/>
                  </w:rPr>
                  <m:t>44.85 =</m:t>
                </m:r>
                <m:d>
                  <m:dPr>
                    <m:ctrlPr>
                      <w:rPr>
                        <w:rFonts w:ascii="Cambria Math" w:hAnsi="Cambria Math"/>
                        <w:b/>
                        <w:bCs/>
                        <w:i/>
                      </w:rPr>
                    </m:ctrlPr>
                  </m:dPr>
                  <m:e>
                    <m:d>
                      <m:dPr>
                        <m:ctrlPr>
                          <w:rPr>
                            <w:rFonts w:ascii="Cambria Math" w:hAnsi="Cambria Math"/>
                            <w:b/>
                            <w:bCs/>
                            <w:i/>
                          </w:rPr>
                        </m:ctrlPr>
                      </m:dPr>
                      <m:e>
                        <m:r>
                          <m:rPr>
                            <m:sty m:val="bi"/>
                          </m:rPr>
                          <w:rPr>
                            <w:rFonts w:ascii="Cambria Math" w:hAnsi="Cambria Math"/>
                          </w:rPr>
                          <m:t>1,100×</m:t>
                        </m:r>
                        <m:d>
                          <m:dPr>
                            <m:ctrlPr>
                              <w:rPr>
                                <w:rFonts w:ascii="Cambria Math" w:hAnsi="Cambria Math"/>
                                <w:b/>
                                <w:bCs/>
                                <w:i/>
                              </w:rPr>
                            </m:ctrlPr>
                          </m:dPr>
                          <m:e>
                            <m:r>
                              <m:rPr>
                                <m:sty m:val="bi"/>
                              </m:rPr>
                              <w:rPr>
                                <w:rFonts w:ascii="Cambria Math" w:hAnsi="Cambria Math"/>
                              </w:rPr>
                              <m:t>1-0.4896</m:t>
                            </m:r>
                          </m:e>
                        </m:d>
                      </m:e>
                    </m:d>
                    <m:r>
                      <m:rPr>
                        <m:sty m:val="bi"/>
                      </m:rPr>
                      <w:rPr>
                        <w:rFonts w:ascii="Cambria Math" w:hAnsi="Cambria Math"/>
                      </w:rPr>
                      <m:t>-500</m:t>
                    </m:r>
                  </m:e>
                </m:d>
                <m:r>
                  <m:rPr>
                    <m:sty m:val="bi"/>
                  </m:rPr>
                  <w:rPr>
                    <w:rFonts w:ascii="Cambria Math" w:hAnsi="Cambria Math"/>
                  </w:rPr>
                  <m:t>×0.73</m:t>
                </m:r>
              </m:oMath>
            </m:oMathPara>
          </w:p>
          <w:p w14:paraId="66A0A7F6" w14:textId="77777777" w:rsidR="00AE540B" w:rsidRPr="000F285B" w:rsidRDefault="00AE540B" w:rsidP="00AE540B">
            <w:pPr>
              <w:spacing w:before="0" w:beforeAutospacing="0" w:after="160"/>
              <w:rPr>
                <w:sz w:val="22"/>
                <w:szCs w:val="22"/>
                <w:lang w:eastAsia="en-US"/>
              </w:rPr>
            </w:pPr>
            <w:r>
              <w:t>The result is therefore that 44.85 kg CO</w:t>
            </w:r>
            <w:r w:rsidRPr="00C91860">
              <w:rPr>
                <w:vertAlign w:val="subscript"/>
              </w:rPr>
              <w:softHyphen/>
              <w:t>2</w:t>
            </w:r>
            <w:r>
              <w:t>-e is attributable to electricity emissions.</w:t>
            </w:r>
          </w:p>
        </w:tc>
      </w:tr>
    </w:tbl>
    <w:p w14:paraId="4D771B85" w14:textId="3623CA64" w:rsidR="00427B69" w:rsidRDefault="00427B69" w:rsidP="00BB357C">
      <w:pPr>
        <w:pStyle w:val="Heading3"/>
        <w:spacing w:before="200"/>
      </w:pPr>
      <w:bookmarkStart w:id="154" w:name="_Ref129965229"/>
      <w:r>
        <w:t>Carbon capture and storage</w:t>
      </w:r>
      <w:bookmarkEnd w:id="154"/>
      <w:r>
        <w:t xml:space="preserve"> </w:t>
      </w:r>
      <w:r w:rsidR="006E0367">
        <w:t>(CCS)</w:t>
      </w:r>
      <w:r>
        <w:t xml:space="preserve"> </w:t>
      </w:r>
    </w:p>
    <w:p w14:paraId="15734E3E" w14:textId="6886602A" w:rsidR="00F84758" w:rsidRDefault="00CC14CA" w:rsidP="00427B69">
      <w:r>
        <w:t xml:space="preserve">Carbon capture and storage will be recognised as an emissions reduction </w:t>
      </w:r>
      <w:r w:rsidR="00EE6602">
        <w:t xml:space="preserve">within the </w:t>
      </w:r>
      <w:r w:rsidR="00080AC2">
        <w:t>production boundary</w:t>
      </w:r>
      <w:r w:rsidR="00EE6602">
        <w:t xml:space="preserve"> of the GO scheme. </w:t>
      </w:r>
      <w:r w:rsidR="00F84758">
        <w:t xml:space="preserve">The only method for CCS that is initially proposed to be recognised in the GO scheme is for permanent geological storage. This is in alignment with the NGER </w:t>
      </w:r>
      <w:r w:rsidR="0013107C">
        <w:t>(</w:t>
      </w:r>
      <w:r w:rsidR="00F84758">
        <w:t>Measurement</w:t>
      </w:r>
      <w:r w:rsidR="0013107C">
        <w:t>)</w:t>
      </w:r>
      <w:r w:rsidR="00F84758">
        <w:t xml:space="preserve"> Determination </w:t>
      </w:r>
      <w:r w:rsidR="0086467F">
        <w:t xml:space="preserve">2008 </w:t>
      </w:r>
      <w:r w:rsidR="00F875FD">
        <w:t>(NGER Determination)</w:t>
      </w:r>
      <w:r w:rsidR="002E5B2B" w:rsidRPr="002E5B2B">
        <w:rPr>
          <w:vertAlign w:val="superscript"/>
        </w:rPr>
        <w:fldChar w:fldCharType="begin"/>
      </w:r>
      <w:r w:rsidR="002E5B2B" w:rsidRPr="002E5B2B">
        <w:rPr>
          <w:vertAlign w:val="superscript"/>
        </w:rPr>
        <w:instrText xml:space="preserve"> NOTEREF _Ref142576756 \h </w:instrText>
      </w:r>
      <w:r w:rsidR="002E5B2B">
        <w:rPr>
          <w:vertAlign w:val="superscript"/>
        </w:rPr>
        <w:instrText xml:space="preserve"> \* MERGEFORMAT </w:instrText>
      </w:r>
      <w:r w:rsidR="002E5B2B" w:rsidRPr="002E5B2B">
        <w:rPr>
          <w:vertAlign w:val="superscript"/>
        </w:rPr>
      </w:r>
      <w:r w:rsidR="002E5B2B" w:rsidRPr="002E5B2B">
        <w:rPr>
          <w:vertAlign w:val="superscript"/>
        </w:rPr>
        <w:fldChar w:fldCharType="separate"/>
      </w:r>
      <w:r w:rsidR="00785FEC">
        <w:rPr>
          <w:vertAlign w:val="superscript"/>
        </w:rPr>
        <w:t>2</w:t>
      </w:r>
      <w:r w:rsidR="002E5B2B" w:rsidRPr="002E5B2B">
        <w:rPr>
          <w:vertAlign w:val="superscript"/>
        </w:rPr>
        <w:fldChar w:fldCharType="end"/>
      </w:r>
      <w:r w:rsidR="00F875FD">
        <w:t xml:space="preserve"> </w:t>
      </w:r>
      <w:r w:rsidR="00F84758">
        <w:t xml:space="preserve">which does not cover forms of storage such as mineral carbonation or forms of </w:t>
      </w:r>
      <w:r w:rsidR="007F3E31">
        <w:t>utilisation</w:t>
      </w:r>
      <w:r w:rsidR="00F84758">
        <w:t xml:space="preserve">. </w:t>
      </w:r>
    </w:p>
    <w:p w14:paraId="3C2413ED" w14:textId="5943821D" w:rsidR="00427B69" w:rsidRDefault="2E05D8C2" w:rsidP="00427B69">
      <w:r>
        <w:t>The fugitive</w:t>
      </w:r>
      <w:r w:rsidR="006A41B0">
        <w:t xml:space="preserve">, </w:t>
      </w:r>
      <w:r w:rsidR="00373DB6">
        <w:t>combustion</w:t>
      </w:r>
      <w:r w:rsidR="000153B2">
        <w:t>,</w:t>
      </w:r>
      <w:r>
        <w:t xml:space="preserve"> and electricity emissions related to the carbon capture and storage process must be accounted for in accordance with the relevant sections above</w:t>
      </w:r>
      <w:r w:rsidR="6F32B7D0">
        <w:t>. This includes all modules as listed in the product facility definition, including the transport and injection processes</w:t>
      </w:r>
      <w:r>
        <w:t>.</w:t>
      </w:r>
      <w:r w:rsidR="6F32B7D0">
        <w:t xml:space="preserve"> </w:t>
      </w:r>
    </w:p>
    <w:p w14:paraId="1A9A1D07" w14:textId="34ACBF27" w:rsidR="00757CA0" w:rsidRDefault="00757CA0" w:rsidP="00757CA0">
      <w:r>
        <w:t xml:space="preserve">The </w:t>
      </w:r>
      <w:r w:rsidR="00A34ADE">
        <w:t xml:space="preserve">allowable deduction from the CCS process is </w:t>
      </w:r>
      <w:r w:rsidR="006764F4">
        <w:t>calculated</w:t>
      </w:r>
      <w:r w:rsidR="00A34ADE">
        <w:t xml:space="preserve"> by </w:t>
      </w:r>
      <w:r w:rsidR="009C0675">
        <w:t xml:space="preserve">subtracting any losses that are incurred in the transport and injection process from </w:t>
      </w:r>
      <w:r w:rsidR="00A34ADE">
        <w:t xml:space="preserve">the total quantity of greenhouse gases that are captured for permanent storage. The </w:t>
      </w:r>
      <w:r w:rsidR="00AF4C57">
        <w:t xml:space="preserve">measurement approach required for the </w:t>
      </w:r>
      <w:r w:rsidR="00A34ADE">
        <w:t xml:space="preserve">quantity of carbon </w:t>
      </w:r>
      <w:r w:rsidR="00AF4C57">
        <w:t xml:space="preserve">captured for storage and losses is detailed in </w:t>
      </w:r>
      <w:r w:rsidR="00224CF3">
        <w:fldChar w:fldCharType="begin"/>
      </w:r>
      <w:r w:rsidR="00224CF3">
        <w:instrText xml:space="preserve"> REF _Ref130561849 \r \h </w:instrText>
      </w:r>
      <w:r w:rsidR="00224CF3">
        <w:fldChar w:fldCharType="separate"/>
      </w:r>
      <w:r w:rsidR="00785FEC">
        <w:t>Part 4</w:t>
      </w:r>
      <w:r w:rsidR="00224CF3">
        <w:fldChar w:fldCharType="end"/>
      </w:r>
      <w:r w:rsidR="00AF4C57">
        <w:t xml:space="preserve"> of this paper.</w:t>
      </w:r>
      <w:r w:rsidR="00DB1672">
        <w:t xml:space="preserve"> </w:t>
      </w:r>
    </w:p>
    <w:p w14:paraId="73E311E7" w14:textId="438B1C8C" w:rsidR="00A54B15" w:rsidRDefault="00A54B15" w:rsidP="00A54B15">
      <w:r w:rsidRPr="00690DBA">
        <w:t xml:space="preserve">The generation of </w:t>
      </w:r>
      <w:r w:rsidR="00373DB6">
        <w:t xml:space="preserve">Australian </w:t>
      </w:r>
      <w:r w:rsidRPr="00690DBA">
        <w:t xml:space="preserve">Carbon Credit Units </w:t>
      </w:r>
      <w:r>
        <w:t>(</w:t>
      </w:r>
      <w:r w:rsidRPr="00690DBA">
        <w:t>ACCUs) as part of a CCS activity may be used to assist in the accounting. However,</w:t>
      </w:r>
      <w:r w:rsidR="00373DB6">
        <w:t xml:space="preserve"> these ACCUs must be surrendered for the emissions reduction to be claimed in the GO scheme</w:t>
      </w:r>
      <w:r w:rsidRPr="00690DBA">
        <w:t>.</w:t>
      </w:r>
      <w:r>
        <w:t xml:space="preserve"> This prevents double counting of emissions reductions.</w:t>
      </w:r>
      <w:r w:rsidR="00EC7D31">
        <w:t xml:space="preserve"> </w:t>
      </w:r>
      <w:r>
        <w:t>CCS reversals</w:t>
      </w:r>
      <w:r w:rsidR="00C65F05">
        <w:t xml:space="preserve">, particularly in relation to </w:t>
      </w:r>
      <w:r w:rsidR="00602203">
        <w:t xml:space="preserve">potential </w:t>
      </w:r>
      <w:r w:rsidR="00C65F05">
        <w:t>future</w:t>
      </w:r>
      <w:r w:rsidR="00070553">
        <w:t xml:space="preserve"> loss events,</w:t>
      </w:r>
      <w:r>
        <w:t xml:space="preserve"> are considered outside of the scheme</w:t>
      </w:r>
      <w:r w:rsidR="0051086E">
        <w:t xml:space="preserve">. </w:t>
      </w:r>
      <w:r w:rsidR="002E3BE1">
        <w:t>A</w:t>
      </w:r>
      <w:r w:rsidR="008715D0">
        <w:t xml:space="preserve"> failure or </w:t>
      </w:r>
      <w:r w:rsidR="00343BEC">
        <w:t>major event at a CCS module/facility would have</w:t>
      </w:r>
      <w:r>
        <w:t xml:space="preserve"> implications for claiming behaviour</w:t>
      </w:r>
      <w:r w:rsidR="00394038">
        <w:t xml:space="preserve"> and require</w:t>
      </w:r>
      <w:r w:rsidR="00C832FF">
        <w:t xml:space="preserve"> </w:t>
      </w:r>
      <w:r w:rsidR="002E2A7C">
        <w:t>timely event reporting to ensure accuracy.</w:t>
      </w:r>
    </w:p>
    <w:p w14:paraId="045DD479" w14:textId="11DB6971" w:rsidR="00BD6FD0" w:rsidRDefault="00BD6FD0" w:rsidP="00BD6FD0">
      <w:r>
        <w:t xml:space="preserve">The GO scheme is not proposed to cover Carbon Capture and Utilization (CCU) at commencement. However, as international and domestic accounting approaches to CCU continue to develop they may eventually be recognized in the GO scheme. This could include processes such as mineral carbonation for building material production, or products which consume carbon dioxide in their production such as urea or resin. </w:t>
      </w:r>
    </w:p>
    <w:p w14:paraId="1EACE3C6" w14:textId="77777777" w:rsidR="00BD6FD0" w:rsidRDefault="00BD6FD0" w:rsidP="00BD6FD0">
      <w:r>
        <w:t>The approach to CCU will involve setting measurement rules, minimum lifetime for products and require approaches to prevent double counting.</w:t>
      </w:r>
    </w:p>
    <w:p w14:paraId="4D6135E7" w14:textId="5F6709D6" w:rsidR="00D85649" w:rsidRDefault="00D85649" w:rsidP="00D85649">
      <w:pPr>
        <w:pStyle w:val="Calloutbox"/>
        <w:spacing w:after="120"/>
        <w:contextualSpacing w:val="0"/>
        <w:rPr>
          <w:b/>
          <w:bCs/>
        </w:rPr>
      </w:pPr>
      <w:r>
        <w:rPr>
          <w:b/>
          <w:bCs/>
        </w:rPr>
        <w:t xml:space="preserve">GO Calculator user guide – Inputting </w:t>
      </w:r>
      <w:r w:rsidR="00B01477">
        <w:rPr>
          <w:b/>
          <w:bCs/>
        </w:rPr>
        <w:t>CCS emissions</w:t>
      </w:r>
    </w:p>
    <w:p w14:paraId="4C6F4F69" w14:textId="77777777" w:rsidR="00D1021E" w:rsidRDefault="00A06CD7" w:rsidP="00D17B84">
      <w:pPr>
        <w:pStyle w:val="Calloutbox"/>
        <w:spacing w:after="120"/>
        <w:contextualSpacing w:val="0"/>
      </w:pPr>
      <w:r>
        <w:t>Users need to input</w:t>
      </w:r>
      <w:r w:rsidR="00AF4857">
        <w:t xml:space="preserve"> the</w:t>
      </w:r>
      <w:r w:rsidR="00AF4857" w:rsidRPr="00AF4857">
        <w:t xml:space="preserve"> </w:t>
      </w:r>
      <w:r w:rsidR="00AF4857">
        <w:t>emissions associated with capturing, transporting, storing and injecting carbon dioxide</w:t>
      </w:r>
      <w:r>
        <w:t xml:space="preserve"> </w:t>
      </w:r>
      <w:r w:rsidR="00AF4857">
        <w:t xml:space="preserve">in the </w:t>
      </w:r>
      <w:r w:rsidR="00AF4857" w:rsidRPr="00B24C5A">
        <w:rPr>
          <w:i/>
          <w:iCs/>
        </w:rPr>
        <w:t>CARBON CAPTURE AND STORAGE EMISSIONS</w:t>
      </w:r>
      <w:r w:rsidR="00AF4857">
        <w:t xml:space="preserve"> section in the “Natural Gas Reforming” and “Coal Gasification” tabs.</w:t>
      </w:r>
    </w:p>
    <w:p w14:paraId="3C8EAA28" w14:textId="7C3DEA23" w:rsidR="00D17B84" w:rsidRDefault="00D17B84" w:rsidP="00D17B84">
      <w:pPr>
        <w:pStyle w:val="Calloutbox"/>
        <w:spacing w:after="120"/>
        <w:contextualSpacing w:val="0"/>
      </w:pPr>
      <w:r>
        <w:t xml:space="preserve">The </w:t>
      </w:r>
      <w:r w:rsidR="00937247">
        <w:t xml:space="preserve">quantity of carbon </w:t>
      </w:r>
      <w:r w:rsidR="00FD4404">
        <w:t xml:space="preserve">dioxide </w:t>
      </w:r>
      <w:r>
        <w:t xml:space="preserve">captured </w:t>
      </w:r>
      <w:r w:rsidR="00937247">
        <w:t>and stored</w:t>
      </w:r>
      <w:r w:rsidR="00D1021E">
        <w:t xml:space="preserve"> is</w:t>
      </w:r>
      <w:r w:rsidR="00BB2DE0">
        <w:t xml:space="preserve"> </w:t>
      </w:r>
      <w:r w:rsidR="004346F1">
        <w:t xml:space="preserve">also </w:t>
      </w:r>
      <w:r w:rsidR="00FE5A8F">
        <w:t xml:space="preserve">input </w:t>
      </w:r>
      <w:r w:rsidR="004346F1">
        <w:t>here</w:t>
      </w:r>
      <w:r w:rsidR="00BB2DE0">
        <w:t>.</w:t>
      </w:r>
    </w:p>
    <w:p w14:paraId="221680D6" w14:textId="46660E0D" w:rsidR="00510F0B" w:rsidRDefault="00260C35" w:rsidP="00BB357C">
      <w:pPr>
        <w:pStyle w:val="Heading3"/>
        <w:spacing w:before="200"/>
      </w:pPr>
      <w:bookmarkStart w:id="155" w:name="_Ref140523033"/>
      <w:r>
        <w:t>Co-product allocation</w:t>
      </w:r>
      <w:bookmarkEnd w:id="155"/>
    </w:p>
    <w:p w14:paraId="4D73A7F6" w14:textId="3342D7D9" w:rsidR="002D0520" w:rsidRDefault="00A87C24" w:rsidP="00A37738">
      <w:r>
        <w:t xml:space="preserve">Hydrogen production results in a </w:t>
      </w:r>
      <w:r w:rsidR="00640693">
        <w:t>variety of waste, by-products and co-products. Co</w:t>
      </w:r>
      <w:r w:rsidR="003E39A9">
        <w:t xml:space="preserve">-products are products that have a financial value from being on-sold </w:t>
      </w:r>
      <w:r w:rsidR="0019119C">
        <w:t>or reused. T</w:t>
      </w:r>
      <w:r w:rsidR="008D6667">
        <w:t xml:space="preserve">he eligible list </w:t>
      </w:r>
      <w:r w:rsidR="00E04E7C">
        <w:t xml:space="preserve">of co-products is </w:t>
      </w:r>
      <w:r w:rsidR="003E39A9">
        <w:t>detailed in</w:t>
      </w:r>
      <w:r w:rsidR="00B53BDB">
        <w:t xml:space="preserve"> the table below</w:t>
      </w:r>
      <w:r w:rsidR="003E39A9">
        <w:t xml:space="preserve">. </w:t>
      </w:r>
      <w:r w:rsidR="004F20CE">
        <w:t xml:space="preserve">Co-products present a unique challenge for the </w:t>
      </w:r>
      <w:r w:rsidR="007F5B6F">
        <w:t xml:space="preserve">GO </w:t>
      </w:r>
      <w:r w:rsidR="004F20CE">
        <w:t xml:space="preserve">scheme, as emissions within </w:t>
      </w:r>
      <w:r w:rsidR="00F41FA3">
        <w:t xml:space="preserve">the </w:t>
      </w:r>
      <w:r w:rsidR="00080AC2">
        <w:rPr>
          <w:i/>
          <w:iCs/>
        </w:rPr>
        <w:t>production boundary</w:t>
      </w:r>
      <w:r w:rsidR="007F5B6F">
        <w:rPr>
          <w:i/>
          <w:iCs/>
        </w:rPr>
        <w:t xml:space="preserve"> </w:t>
      </w:r>
      <w:r w:rsidR="00247167">
        <w:t>can</w:t>
      </w:r>
      <w:r w:rsidR="00381823">
        <w:t xml:space="preserve"> be allocated to these co-products</w:t>
      </w:r>
      <w:r w:rsidR="00B629B0">
        <w:t xml:space="preserve"> in</w:t>
      </w:r>
      <w:r w:rsidR="0059233D">
        <w:t>stead of the registered product,</w:t>
      </w:r>
      <w:r w:rsidR="00B629B0">
        <w:t xml:space="preserve"> </w:t>
      </w:r>
      <w:r w:rsidR="008A0210">
        <w:t xml:space="preserve">in </w:t>
      </w:r>
      <w:r w:rsidR="00B629B0">
        <w:t xml:space="preserve">accordance with the IPHE, ISO 14044 and the GHG Protocol. </w:t>
      </w:r>
      <w:r w:rsidR="00C25E03">
        <w:t xml:space="preserve"> </w:t>
      </w:r>
    </w:p>
    <w:p w14:paraId="1BD0FFFD" w14:textId="77777777" w:rsidR="00422E62" w:rsidRDefault="00422E62" w:rsidP="00422E62">
      <w:pPr>
        <w:pStyle w:val="Calloutbox"/>
        <w:spacing w:after="120"/>
        <w:contextualSpacing w:val="0"/>
        <w:rPr>
          <w:b/>
          <w:bCs/>
        </w:rPr>
      </w:pPr>
      <w:bookmarkStart w:id="156" w:name="_Hlk142656116"/>
      <w:r>
        <w:rPr>
          <w:b/>
          <w:bCs/>
        </w:rPr>
        <w:t>GO Calculator user guide – Co-product allocations</w:t>
      </w:r>
    </w:p>
    <w:p w14:paraId="2F280ED8" w14:textId="7AB72E84" w:rsidR="00EE0972" w:rsidRDefault="00422E62" w:rsidP="00422E62">
      <w:pPr>
        <w:pStyle w:val="Calloutbox"/>
        <w:spacing w:after="120"/>
        <w:contextualSpacing w:val="0"/>
      </w:pPr>
      <w:r>
        <w:t xml:space="preserve">There are numerous </w:t>
      </w:r>
      <w:r w:rsidR="00EC79B3">
        <w:t xml:space="preserve">sections for </w:t>
      </w:r>
      <w:r>
        <w:t>co-product allocation</w:t>
      </w:r>
      <w:r w:rsidR="00EC79B3">
        <w:t xml:space="preserve">s </w:t>
      </w:r>
      <w:r>
        <w:t xml:space="preserve">throughout the production pathway tabs. The approach for </w:t>
      </w:r>
      <w:r w:rsidR="00726F26">
        <w:t xml:space="preserve">each </w:t>
      </w:r>
      <w:r>
        <w:t>co-product</w:t>
      </w:r>
      <w:r w:rsidR="00726F26">
        <w:t xml:space="preserve"> is based on the allocation approaches for each eligible co-product</w:t>
      </w:r>
      <w:bookmarkEnd w:id="156"/>
      <w:r w:rsidR="003C6ED7">
        <w:t xml:space="preserve"> listed below. </w:t>
      </w:r>
      <w:r w:rsidR="00EC79B3">
        <w:t xml:space="preserve">There are specific sections for products like electricity, </w:t>
      </w:r>
      <w:r w:rsidR="002E6AF7">
        <w:t>steam, oxygen and air products,</w:t>
      </w:r>
      <w:r w:rsidR="00EE0972">
        <w:t xml:space="preserve"> which require specific information be input to calculate emissions attributable to these co-products.</w:t>
      </w:r>
    </w:p>
    <w:p w14:paraId="335C2CF3" w14:textId="061ADF18" w:rsidR="003C0CA3" w:rsidRDefault="00845EF7" w:rsidP="00845EF7">
      <w:pPr>
        <w:pStyle w:val="Calloutbox"/>
        <w:spacing w:after="120"/>
        <w:contextualSpacing w:val="0"/>
      </w:pPr>
      <w:r>
        <w:t xml:space="preserve">There are also sections for other co-product allocations where quantity produced and sold, and emissions attributable to the co-product can be reported. The GO calculator does not </w:t>
      </w:r>
      <w:r w:rsidR="0049337B">
        <w:t>automatically calculate emissions from these other co-products, users will need estimate these outside the calculator.</w:t>
      </w:r>
      <w:r w:rsidR="003C0CA3">
        <w:t xml:space="preserve"> </w:t>
      </w:r>
    </w:p>
    <w:p w14:paraId="268A3265" w14:textId="36757FE9" w:rsidR="002D0520" w:rsidRDefault="002A7E81" w:rsidP="00E702B3">
      <w:pPr>
        <w:pStyle w:val="Heading4"/>
        <w:numPr>
          <w:ilvl w:val="0"/>
          <w:numId w:val="0"/>
        </w:numPr>
        <w:spacing w:before="200"/>
      </w:pPr>
      <w:r>
        <w:t>Eligible co-products</w:t>
      </w:r>
    </w:p>
    <w:p w14:paraId="32168CFA" w14:textId="16DC4748" w:rsidR="002D0520" w:rsidRDefault="002D0520" w:rsidP="00A37738">
      <w:r>
        <w:t xml:space="preserve">The list of eligible co-products for each production pathway is defined in the table below. As the GO scheme expands to include additional </w:t>
      </w:r>
      <w:r w:rsidRPr="007C4D6C">
        <w:rPr>
          <w:i/>
          <w:iCs/>
        </w:rPr>
        <w:t>production pathways</w:t>
      </w:r>
      <w:r>
        <w:t xml:space="preserve"> and </w:t>
      </w:r>
      <w:r w:rsidRPr="007C4D6C">
        <w:rPr>
          <w:i/>
          <w:iCs/>
        </w:rPr>
        <w:t>registered products</w:t>
      </w:r>
      <w:r>
        <w:t xml:space="preserve">, this table will be updated to include any co-products from these new </w:t>
      </w:r>
      <w:r w:rsidRPr="007C4D6C">
        <w:rPr>
          <w:i/>
          <w:iCs/>
        </w:rPr>
        <w:t>product facilities</w:t>
      </w:r>
      <w:r>
        <w:t xml:space="preserve">. As an example, if the scheme expanded to include salt-water electrolysis and chlor-alkali production pathways for hydrogen, </w:t>
      </w:r>
      <w:r w:rsidR="0068260B">
        <w:t xml:space="preserve">then </w:t>
      </w:r>
      <w:r>
        <w:t xml:space="preserve">caustic soda and chlorine could be added as co-products. </w:t>
      </w:r>
    </w:p>
    <w:p w14:paraId="796D5728" w14:textId="52D46F9D" w:rsidR="00672684" w:rsidRDefault="00672684" w:rsidP="00A37738">
      <w:r>
        <w:t xml:space="preserve">The table below defines the shared processes which </w:t>
      </w:r>
      <w:r w:rsidR="000F09F6">
        <w:t>can</w:t>
      </w:r>
      <w:r>
        <w:t xml:space="preserve"> be apportioned </w:t>
      </w:r>
      <w:r w:rsidR="00EE6BE1">
        <w:t xml:space="preserve">between the registered product and </w:t>
      </w:r>
      <w:r>
        <w:t xml:space="preserve">co-products across the three production pathways. </w:t>
      </w:r>
      <w:r w:rsidR="002A7E81">
        <w:t xml:space="preserve">The table also puts forward the preferred allocation approach order for each eligible product per production pathway. </w:t>
      </w:r>
    </w:p>
    <w:p w14:paraId="71418311" w14:textId="6A03A696" w:rsidR="00C25E03" w:rsidRDefault="00C25E03" w:rsidP="00621A7C">
      <w:pPr>
        <w:pStyle w:val="Table"/>
        <w:keepNext/>
        <w:spacing w:before="200"/>
      </w:pPr>
      <w:bookmarkStart w:id="157" w:name="_Ref131149563"/>
      <w:r>
        <w:t xml:space="preserve">Table </w:t>
      </w:r>
      <w:bookmarkEnd w:id="157"/>
      <w:r w:rsidR="008941FC">
        <w:t>3.3</w:t>
      </w:r>
      <w:r>
        <w:t xml:space="preserve"> List of co-products by production pathway</w:t>
      </w:r>
    </w:p>
    <w:tbl>
      <w:tblPr>
        <w:tblStyle w:val="PlainTable1"/>
        <w:tblW w:w="5000" w:type="pct"/>
        <w:tblLook w:val="04A0" w:firstRow="1" w:lastRow="0" w:firstColumn="1" w:lastColumn="0" w:noHBand="0" w:noVBand="1"/>
      </w:tblPr>
      <w:tblGrid>
        <w:gridCol w:w="1838"/>
        <w:gridCol w:w="1419"/>
        <w:gridCol w:w="2685"/>
        <w:gridCol w:w="3074"/>
      </w:tblGrid>
      <w:tr w:rsidR="0046525D" w:rsidRPr="002A732D" w14:paraId="34526444" w14:textId="0B39D0F0" w:rsidTr="008E7E7E">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019" w:type="pct"/>
            <w:shd w:val="clear" w:color="auto" w:fill="AEAAAA" w:themeFill="background2" w:themeFillShade="BF"/>
            <w:vAlign w:val="center"/>
          </w:tcPr>
          <w:p w14:paraId="1AF80980" w14:textId="6AFE8938" w:rsidR="00D64087" w:rsidRPr="00210FE3" w:rsidRDefault="00D64087" w:rsidP="008E7E7E">
            <w:r w:rsidRPr="00210FE3">
              <w:t>Production pathway</w:t>
            </w:r>
          </w:p>
        </w:tc>
        <w:tc>
          <w:tcPr>
            <w:tcW w:w="787" w:type="pct"/>
            <w:shd w:val="clear" w:color="auto" w:fill="AEAAAA" w:themeFill="background2" w:themeFillShade="BF"/>
            <w:vAlign w:val="center"/>
          </w:tcPr>
          <w:p w14:paraId="4FEFDE34" w14:textId="791C6E29" w:rsidR="00D64087" w:rsidRPr="00210FE3" w:rsidRDefault="00D64087" w:rsidP="008E7E7E">
            <w:pPr>
              <w:cnfStyle w:val="100000000000" w:firstRow="1" w:lastRow="0" w:firstColumn="0" w:lastColumn="0" w:oddVBand="0" w:evenVBand="0" w:oddHBand="0" w:evenHBand="0" w:firstRowFirstColumn="0" w:firstRowLastColumn="0" w:lastRowFirstColumn="0" w:lastRowLastColumn="0"/>
              <w:rPr>
                <w:b w:val="0"/>
              </w:rPr>
            </w:pPr>
            <w:r w:rsidRPr="00210FE3">
              <w:t>Eligible</w:t>
            </w:r>
          </w:p>
          <w:p w14:paraId="5C888378" w14:textId="72C6CE93" w:rsidR="00D64087" w:rsidRPr="00210FE3" w:rsidRDefault="00D64087" w:rsidP="008E7E7E">
            <w:pPr>
              <w:cnfStyle w:val="100000000000" w:firstRow="1" w:lastRow="0" w:firstColumn="0" w:lastColumn="0" w:oddVBand="0" w:evenVBand="0" w:oddHBand="0" w:evenHBand="0" w:firstRowFirstColumn="0" w:firstRowLastColumn="0" w:lastRowFirstColumn="0" w:lastRowLastColumn="0"/>
            </w:pPr>
            <w:r w:rsidRPr="00210FE3">
              <w:t>co-products</w:t>
            </w:r>
          </w:p>
        </w:tc>
        <w:tc>
          <w:tcPr>
            <w:tcW w:w="1489" w:type="pct"/>
            <w:shd w:val="clear" w:color="auto" w:fill="AEAAAA" w:themeFill="background2" w:themeFillShade="BF"/>
            <w:vAlign w:val="center"/>
          </w:tcPr>
          <w:p w14:paraId="32DCC9C3" w14:textId="1C187D7A" w:rsidR="00D64087" w:rsidRPr="00210FE3" w:rsidRDefault="00D64087" w:rsidP="008E7E7E">
            <w:pPr>
              <w:cnfStyle w:val="100000000000" w:firstRow="1" w:lastRow="0" w:firstColumn="0" w:lastColumn="0" w:oddVBand="0" w:evenVBand="0" w:oddHBand="0" w:evenHBand="0" w:firstRowFirstColumn="0" w:firstRowLastColumn="0" w:lastRowFirstColumn="0" w:lastRowLastColumn="0"/>
            </w:pPr>
            <w:r w:rsidRPr="00210FE3">
              <w:t>Shared processes</w:t>
            </w:r>
          </w:p>
        </w:tc>
        <w:tc>
          <w:tcPr>
            <w:tcW w:w="1705" w:type="pct"/>
            <w:shd w:val="clear" w:color="auto" w:fill="AEAAAA" w:themeFill="background2" w:themeFillShade="BF"/>
            <w:vAlign w:val="center"/>
          </w:tcPr>
          <w:p w14:paraId="4411412F" w14:textId="52BB0EE2" w:rsidR="00D64087" w:rsidRPr="00210FE3" w:rsidRDefault="00CE6882" w:rsidP="008E7E7E">
            <w:pPr>
              <w:cnfStyle w:val="100000000000" w:firstRow="1" w:lastRow="0" w:firstColumn="0" w:lastColumn="0" w:oddVBand="0" w:evenVBand="0" w:oddHBand="0" w:evenHBand="0" w:firstRowFirstColumn="0" w:firstRowLastColumn="0" w:lastRowFirstColumn="0" w:lastRowLastColumn="0"/>
            </w:pPr>
            <w:r w:rsidRPr="00210FE3">
              <w:t>Allocation approach</w:t>
            </w:r>
            <w:r w:rsidR="008A4AB3" w:rsidRPr="00210FE3">
              <w:t xml:space="preserve"> (in order)</w:t>
            </w:r>
          </w:p>
        </w:tc>
      </w:tr>
      <w:tr w:rsidR="0046525D" w14:paraId="0BBBD66B" w14:textId="11657290" w:rsidTr="008E7E7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019" w:type="pct"/>
          </w:tcPr>
          <w:p w14:paraId="4C872396" w14:textId="2710493E" w:rsidR="00D64087" w:rsidRPr="002A732D" w:rsidRDefault="00D64087" w:rsidP="00F21103">
            <w:pPr>
              <w:rPr>
                <w:i/>
              </w:rPr>
            </w:pPr>
            <w:r>
              <w:t>Electrolysis</w:t>
            </w:r>
          </w:p>
        </w:tc>
        <w:tc>
          <w:tcPr>
            <w:tcW w:w="787" w:type="pct"/>
          </w:tcPr>
          <w:p w14:paraId="699430A0" w14:textId="1E5C0DB9" w:rsidR="00D64087" w:rsidRDefault="00D64087" w:rsidP="00F21103">
            <w:pPr>
              <w:cnfStyle w:val="000000100000" w:firstRow="0" w:lastRow="0" w:firstColumn="0" w:lastColumn="0" w:oddVBand="0" w:evenVBand="0" w:oddHBand="1" w:evenHBand="0" w:firstRowFirstColumn="0" w:firstRowLastColumn="0" w:lastRowFirstColumn="0" w:lastRowLastColumn="0"/>
            </w:pPr>
            <w:r w:rsidRPr="002A732D">
              <w:rPr>
                <w:i/>
                <w:iCs/>
              </w:rPr>
              <w:t>Oxygen</w:t>
            </w:r>
          </w:p>
        </w:tc>
        <w:tc>
          <w:tcPr>
            <w:tcW w:w="1489" w:type="pct"/>
          </w:tcPr>
          <w:p w14:paraId="64898F37" w14:textId="77777777" w:rsidR="00D64087" w:rsidRDefault="00D64087" w:rsidP="00F21103">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Electrolysis specific water treatment</w:t>
            </w:r>
          </w:p>
          <w:p w14:paraId="6968143A" w14:textId="71290510" w:rsidR="00D64087" w:rsidRDefault="00D64087" w:rsidP="00F21103">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Electrolyser operation</w:t>
            </w:r>
          </w:p>
        </w:tc>
        <w:tc>
          <w:tcPr>
            <w:tcW w:w="1705" w:type="pct"/>
          </w:tcPr>
          <w:p w14:paraId="7BE8CA96" w14:textId="55EA5143" w:rsidR="00D64087" w:rsidRDefault="09761E49" w:rsidP="00CE6882">
            <w:pPr>
              <w:cnfStyle w:val="000000100000" w:firstRow="0" w:lastRow="0" w:firstColumn="0" w:lastColumn="0" w:oddVBand="0" w:evenVBand="0" w:oddHBand="1" w:evenHBand="0" w:firstRowFirstColumn="0" w:firstRowLastColumn="0" w:lastRowFirstColumn="0" w:lastRowLastColumn="0"/>
            </w:pPr>
            <w:r>
              <w:t>System expansion</w:t>
            </w:r>
            <w:r w:rsidR="364B33B2">
              <w:t xml:space="preserve"> using a c</w:t>
            </w:r>
            <w:r w:rsidR="364B33B2" w:rsidRPr="3696305E">
              <w:rPr>
                <w:rFonts w:ascii="Calibri" w:eastAsia="Calibri" w:hAnsi="Calibri" w:cs="Calibri"/>
              </w:rPr>
              <w:t>ryogenic distillation system</w:t>
            </w:r>
          </w:p>
        </w:tc>
      </w:tr>
      <w:tr w:rsidR="00D64087" w14:paraId="3D28E01D" w14:textId="51CB1788" w:rsidTr="00914EFD">
        <w:trPr>
          <w:trHeight w:val="624"/>
        </w:trPr>
        <w:tc>
          <w:tcPr>
            <w:cnfStyle w:val="001000000000" w:firstRow="0" w:lastRow="0" w:firstColumn="1" w:lastColumn="0" w:oddVBand="0" w:evenVBand="0" w:oddHBand="0" w:evenHBand="0" w:firstRowFirstColumn="0" w:firstRowLastColumn="0" w:lastRowFirstColumn="0" w:lastRowLastColumn="0"/>
            <w:tcW w:w="1019" w:type="pct"/>
          </w:tcPr>
          <w:p w14:paraId="211FB859" w14:textId="36D68519" w:rsidR="00D64087" w:rsidRPr="002A732D" w:rsidRDefault="00D64087" w:rsidP="00F21103">
            <w:pPr>
              <w:rPr>
                <w:i/>
              </w:rPr>
            </w:pPr>
            <w:r>
              <w:t>Steam methane reformation</w:t>
            </w:r>
          </w:p>
        </w:tc>
        <w:tc>
          <w:tcPr>
            <w:tcW w:w="787" w:type="pct"/>
          </w:tcPr>
          <w:p w14:paraId="6632B9AC" w14:textId="52083D2D" w:rsidR="00D64087" w:rsidRDefault="00D64087" w:rsidP="00F21103">
            <w:pPr>
              <w:cnfStyle w:val="000000000000" w:firstRow="0" w:lastRow="0" w:firstColumn="0" w:lastColumn="0" w:oddVBand="0" w:evenVBand="0" w:oddHBand="0" w:evenHBand="0" w:firstRowFirstColumn="0" w:firstRowLastColumn="0" w:lastRowFirstColumn="0" w:lastRowLastColumn="0"/>
            </w:pPr>
            <w:r w:rsidRPr="002A732D">
              <w:rPr>
                <w:i/>
                <w:iCs/>
              </w:rPr>
              <w:t>Steam</w:t>
            </w:r>
          </w:p>
        </w:tc>
        <w:tc>
          <w:tcPr>
            <w:tcW w:w="1489" w:type="pct"/>
          </w:tcPr>
          <w:p w14:paraId="29928F0A" w14:textId="465C7CA0" w:rsidR="00D64087" w:rsidRDefault="00D64087" w:rsidP="006F0C03">
            <w:pPr>
              <w:cnfStyle w:val="000000000000" w:firstRow="0" w:lastRow="0" w:firstColumn="0" w:lastColumn="0" w:oddVBand="0" w:evenVBand="0" w:oddHBand="0" w:evenHBand="0" w:firstRowFirstColumn="0" w:firstRowLastColumn="0" w:lastRowFirstColumn="0" w:lastRowLastColumn="0"/>
            </w:pPr>
            <w:r>
              <w:t>Core steam methane reformer units</w:t>
            </w:r>
          </w:p>
        </w:tc>
        <w:tc>
          <w:tcPr>
            <w:tcW w:w="1705" w:type="pct"/>
          </w:tcPr>
          <w:p w14:paraId="390832BA" w14:textId="77777777" w:rsidR="008A4AB3" w:rsidRDefault="003F1576" w:rsidP="00F21103">
            <w:pPr>
              <w:cnfStyle w:val="000000000000" w:firstRow="0" w:lastRow="0" w:firstColumn="0" w:lastColumn="0" w:oddVBand="0" w:evenVBand="0" w:oddHBand="0" w:evenHBand="0" w:firstRowFirstColumn="0" w:firstRowLastColumn="0" w:lastRowFirstColumn="0" w:lastRowLastColumn="0"/>
            </w:pPr>
            <w:r>
              <w:t>Energy value allocation</w:t>
            </w:r>
            <w:r w:rsidR="008A4AB3">
              <w:t xml:space="preserve">, or </w:t>
            </w:r>
          </w:p>
          <w:p w14:paraId="77529BA3" w14:textId="28213486" w:rsidR="00D64087" w:rsidRDefault="008A4AB3" w:rsidP="00F21103">
            <w:pPr>
              <w:cnfStyle w:val="000000000000" w:firstRow="0" w:lastRow="0" w:firstColumn="0" w:lastColumn="0" w:oddVBand="0" w:evenVBand="0" w:oddHBand="0" w:evenHBand="0" w:firstRowFirstColumn="0" w:firstRowLastColumn="0" w:lastRowFirstColumn="0" w:lastRowLastColumn="0"/>
            </w:pPr>
            <w:r>
              <w:t xml:space="preserve">Process-property relationship </w:t>
            </w:r>
          </w:p>
        </w:tc>
      </w:tr>
      <w:tr w:rsidR="0046525D" w14:paraId="44F1F599" w14:textId="6794B12B" w:rsidTr="00914EF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19" w:type="pct"/>
          </w:tcPr>
          <w:p w14:paraId="2555D19F" w14:textId="67B0A5D8" w:rsidR="00D64087" w:rsidRDefault="00D64087" w:rsidP="00EB66F1">
            <w:r>
              <w:t xml:space="preserve">Steam methane reformation </w:t>
            </w:r>
          </w:p>
        </w:tc>
        <w:tc>
          <w:tcPr>
            <w:tcW w:w="787" w:type="pct"/>
          </w:tcPr>
          <w:p w14:paraId="68579282" w14:textId="7ED74960" w:rsidR="00D64087" w:rsidRPr="002A732D" w:rsidRDefault="00D64087" w:rsidP="00EB66F1">
            <w:pPr>
              <w:cnfStyle w:val="000000100000" w:firstRow="0" w:lastRow="0" w:firstColumn="0" w:lastColumn="0" w:oddVBand="0" w:evenVBand="0" w:oddHBand="1" w:evenHBand="0" w:firstRowFirstColumn="0" w:firstRowLastColumn="0" w:lastRowFirstColumn="0" w:lastRowLastColumn="0"/>
              <w:rPr>
                <w:i/>
                <w:iCs/>
              </w:rPr>
            </w:pPr>
            <w:r w:rsidRPr="002A732D">
              <w:rPr>
                <w:i/>
                <w:iCs/>
              </w:rPr>
              <w:t>Electricity</w:t>
            </w:r>
          </w:p>
        </w:tc>
        <w:tc>
          <w:tcPr>
            <w:tcW w:w="1489" w:type="pct"/>
          </w:tcPr>
          <w:p w14:paraId="029C6597" w14:textId="063556CE" w:rsidR="00D64087" w:rsidRDefault="00D64087" w:rsidP="006F0C03">
            <w:pPr>
              <w:cnfStyle w:val="000000100000" w:firstRow="0" w:lastRow="0" w:firstColumn="0" w:lastColumn="0" w:oddVBand="0" w:evenVBand="0" w:oddHBand="1" w:evenHBand="0" w:firstRowFirstColumn="0" w:firstRowLastColumn="0" w:lastRowFirstColumn="0" w:lastRowLastColumn="0"/>
            </w:pPr>
            <w:r>
              <w:t>Core steam methane reformer units</w:t>
            </w:r>
          </w:p>
        </w:tc>
        <w:tc>
          <w:tcPr>
            <w:tcW w:w="1705" w:type="pct"/>
          </w:tcPr>
          <w:p w14:paraId="27BC2E34" w14:textId="77777777" w:rsidR="008A4AB3" w:rsidRDefault="00AA3673" w:rsidP="00EB66F1">
            <w:pPr>
              <w:cnfStyle w:val="000000100000" w:firstRow="0" w:lastRow="0" w:firstColumn="0" w:lastColumn="0" w:oddVBand="0" w:evenVBand="0" w:oddHBand="1" w:evenHBand="0" w:firstRowFirstColumn="0" w:firstRowLastColumn="0" w:lastRowFirstColumn="0" w:lastRowLastColumn="0"/>
            </w:pPr>
            <w:r>
              <w:t xml:space="preserve">Energy value allocation, or </w:t>
            </w:r>
          </w:p>
          <w:p w14:paraId="4E5DB77B" w14:textId="6F58876C" w:rsidR="00D64087" w:rsidRDefault="008A4AB3" w:rsidP="00EB66F1">
            <w:pPr>
              <w:cnfStyle w:val="000000100000" w:firstRow="0" w:lastRow="0" w:firstColumn="0" w:lastColumn="0" w:oddVBand="0" w:evenVBand="0" w:oddHBand="1" w:evenHBand="0" w:firstRowFirstColumn="0" w:firstRowLastColumn="0" w:lastRowFirstColumn="0" w:lastRowLastColumn="0"/>
            </w:pPr>
            <w:r>
              <w:t>P</w:t>
            </w:r>
            <w:r w:rsidR="00AA3673">
              <w:t xml:space="preserve">rocess-property relationship </w:t>
            </w:r>
          </w:p>
        </w:tc>
      </w:tr>
      <w:tr w:rsidR="00D64087" w14:paraId="3BC1D02D" w14:textId="03C919EE" w:rsidTr="00914EFD">
        <w:trPr>
          <w:trHeight w:val="624"/>
        </w:trPr>
        <w:tc>
          <w:tcPr>
            <w:cnfStyle w:val="001000000000" w:firstRow="0" w:lastRow="0" w:firstColumn="1" w:lastColumn="0" w:oddVBand="0" w:evenVBand="0" w:oddHBand="0" w:evenHBand="0" w:firstRowFirstColumn="0" w:firstRowLastColumn="0" w:lastRowFirstColumn="0" w:lastRowLastColumn="0"/>
            <w:tcW w:w="1019" w:type="pct"/>
          </w:tcPr>
          <w:p w14:paraId="21D81159" w14:textId="5EBCE50D" w:rsidR="00D64087" w:rsidRPr="002A732D" w:rsidRDefault="00D64087" w:rsidP="00EB66F1">
            <w:pPr>
              <w:rPr>
                <w:i/>
              </w:rPr>
            </w:pPr>
            <w:r>
              <w:t>Coal gasification</w:t>
            </w:r>
          </w:p>
        </w:tc>
        <w:tc>
          <w:tcPr>
            <w:tcW w:w="787" w:type="pct"/>
          </w:tcPr>
          <w:p w14:paraId="04AC653B" w14:textId="401C899D" w:rsidR="00D64087" w:rsidRDefault="00D64087" w:rsidP="00EB66F1">
            <w:pPr>
              <w:cnfStyle w:val="000000000000" w:firstRow="0" w:lastRow="0" w:firstColumn="0" w:lastColumn="0" w:oddVBand="0" w:evenVBand="0" w:oddHBand="0" w:evenHBand="0" w:firstRowFirstColumn="0" w:firstRowLastColumn="0" w:lastRowFirstColumn="0" w:lastRowLastColumn="0"/>
            </w:pPr>
            <w:r w:rsidRPr="002A732D">
              <w:rPr>
                <w:i/>
                <w:iCs/>
              </w:rPr>
              <w:t>Steam</w:t>
            </w:r>
          </w:p>
        </w:tc>
        <w:tc>
          <w:tcPr>
            <w:tcW w:w="1489" w:type="pct"/>
          </w:tcPr>
          <w:p w14:paraId="6104F4A7" w14:textId="68787634" w:rsidR="00D64087" w:rsidRDefault="00D64087" w:rsidP="006F0C03">
            <w:pPr>
              <w:cnfStyle w:val="000000000000" w:firstRow="0" w:lastRow="0" w:firstColumn="0" w:lastColumn="0" w:oddVBand="0" w:evenVBand="0" w:oddHBand="0" w:evenHBand="0" w:firstRowFirstColumn="0" w:firstRowLastColumn="0" w:lastRowFirstColumn="0" w:lastRowLastColumn="0"/>
            </w:pPr>
            <w:r>
              <w:t>Core gasification units</w:t>
            </w:r>
          </w:p>
        </w:tc>
        <w:tc>
          <w:tcPr>
            <w:tcW w:w="1705" w:type="pct"/>
          </w:tcPr>
          <w:p w14:paraId="54F46BAB" w14:textId="033E46BF" w:rsidR="00D64087" w:rsidRDefault="00AA3673" w:rsidP="00EB66F1">
            <w:pPr>
              <w:cnfStyle w:val="000000000000" w:firstRow="0" w:lastRow="0" w:firstColumn="0" w:lastColumn="0" w:oddVBand="0" w:evenVBand="0" w:oddHBand="0" w:evenHBand="0" w:firstRowFirstColumn="0" w:firstRowLastColumn="0" w:lastRowFirstColumn="0" w:lastRowLastColumn="0"/>
            </w:pPr>
            <w:r>
              <w:t>System expansion</w:t>
            </w:r>
            <w:r w:rsidR="00D468A4">
              <w:t xml:space="preserve"> using a natural gas boiler.</w:t>
            </w:r>
          </w:p>
        </w:tc>
      </w:tr>
      <w:tr w:rsidR="0046525D" w14:paraId="70F66B8B" w14:textId="34A4969F" w:rsidTr="002F3C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9" w:type="pct"/>
          </w:tcPr>
          <w:p w14:paraId="16C7E49A" w14:textId="540E9047" w:rsidR="00D64087" w:rsidRPr="002A732D" w:rsidRDefault="00D64087" w:rsidP="00EB66F1">
            <w:pPr>
              <w:rPr>
                <w:i/>
              </w:rPr>
            </w:pPr>
            <w:r>
              <w:t>Coal gasification</w:t>
            </w:r>
          </w:p>
        </w:tc>
        <w:tc>
          <w:tcPr>
            <w:tcW w:w="787" w:type="pct"/>
          </w:tcPr>
          <w:p w14:paraId="64F77AE6" w14:textId="54352B38" w:rsidR="00D64087" w:rsidRDefault="00D64087" w:rsidP="00EB66F1">
            <w:pPr>
              <w:cnfStyle w:val="000000100000" w:firstRow="0" w:lastRow="0" w:firstColumn="0" w:lastColumn="0" w:oddVBand="0" w:evenVBand="0" w:oddHBand="1" w:evenHBand="0" w:firstRowFirstColumn="0" w:firstRowLastColumn="0" w:lastRowFirstColumn="0" w:lastRowLastColumn="0"/>
            </w:pPr>
            <w:r w:rsidRPr="002A732D">
              <w:rPr>
                <w:i/>
                <w:iCs/>
              </w:rPr>
              <w:t>Electricity</w:t>
            </w:r>
          </w:p>
        </w:tc>
        <w:tc>
          <w:tcPr>
            <w:tcW w:w="1489" w:type="pct"/>
          </w:tcPr>
          <w:p w14:paraId="0B60079A" w14:textId="73B2577A" w:rsidR="00D64087" w:rsidRDefault="00D64087" w:rsidP="00EB66F1">
            <w:pPr>
              <w:cnfStyle w:val="000000100000" w:firstRow="0" w:lastRow="0" w:firstColumn="0" w:lastColumn="0" w:oddVBand="0" w:evenVBand="0" w:oddHBand="1" w:evenHBand="0" w:firstRowFirstColumn="0" w:firstRowLastColumn="0" w:lastRowFirstColumn="0" w:lastRowLastColumn="0"/>
            </w:pPr>
            <w:r>
              <w:t>Core gasification units</w:t>
            </w:r>
          </w:p>
        </w:tc>
        <w:tc>
          <w:tcPr>
            <w:tcW w:w="1705" w:type="pct"/>
          </w:tcPr>
          <w:p w14:paraId="11E1F72E" w14:textId="2F9E15F3" w:rsidR="00F431D1" w:rsidRDefault="00F431D1" w:rsidP="00EB66F1">
            <w:pPr>
              <w:cnfStyle w:val="000000100000" w:firstRow="0" w:lastRow="0" w:firstColumn="0" w:lastColumn="0" w:oddVBand="0" w:evenVBand="0" w:oddHBand="1" w:evenHBand="0" w:firstRowFirstColumn="0" w:firstRowLastColumn="0" w:lastRowFirstColumn="0" w:lastRowLastColumn="0"/>
            </w:pPr>
            <w:r>
              <w:t xml:space="preserve">System expansion using </w:t>
            </w:r>
            <w:r w:rsidR="004D546C">
              <w:t xml:space="preserve">a grid </w:t>
            </w:r>
            <w:r>
              <w:t xml:space="preserve">residual mix factor, </w:t>
            </w:r>
            <w:r w:rsidR="004D546C">
              <w:t>or</w:t>
            </w:r>
          </w:p>
          <w:p w14:paraId="2EE9D1D4" w14:textId="77777777" w:rsidR="0009503B" w:rsidRDefault="00AA3673" w:rsidP="00EB66F1">
            <w:pPr>
              <w:cnfStyle w:val="000000100000" w:firstRow="0" w:lastRow="0" w:firstColumn="0" w:lastColumn="0" w:oddVBand="0" w:evenVBand="0" w:oddHBand="1" w:evenHBand="0" w:firstRowFirstColumn="0" w:firstRowLastColumn="0" w:lastRowFirstColumn="0" w:lastRowLastColumn="0"/>
            </w:pPr>
            <w:r>
              <w:t xml:space="preserve">Energy value allocation, or </w:t>
            </w:r>
          </w:p>
          <w:p w14:paraId="293319D8" w14:textId="3032FB92" w:rsidR="00D64087" w:rsidRDefault="004D546C" w:rsidP="00EB66F1">
            <w:pPr>
              <w:cnfStyle w:val="000000100000" w:firstRow="0" w:lastRow="0" w:firstColumn="0" w:lastColumn="0" w:oddVBand="0" w:evenVBand="0" w:oddHBand="1" w:evenHBand="0" w:firstRowFirstColumn="0" w:firstRowLastColumn="0" w:lastRowFirstColumn="0" w:lastRowLastColumn="0"/>
            </w:pPr>
            <w:r>
              <w:t>P</w:t>
            </w:r>
            <w:r w:rsidR="00AA3673">
              <w:t>rocess-property relationship</w:t>
            </w:r>
          </w:p>
        </w:tc>
      </w:tr>
      <w:tr w:rsidR="00D64087" w14:paraId="1A27D9C5" w14:textId="3885258E" w:rsidTr="003044E5">
        <w:trPr>
          <w:trHeight w:val="68"/>
        </w:trPr>
        <w:tc>
          <w:tcPr>
            <w:cnfStyle w:val="001000000000" w:firstRow="0" w:lastRow="0" w:firstColumn="1" w:lastColumn="0" w:oddVBand="0" w:evenVBand="0" w:oddHBand="0" w:evenHBand="0" w:firstRowFirstColumn="0" w:firstRowLastColumn="0" w:lastRowFirstColumn="0" w:lastRowLastColumn="0"/>
            <w:tcW w:w="1019" w:type="pct"/>
          </w:tcPr>
          <w:p w14:paraId="59111499" w14:textId="4DC1D007" w:rsidR="00D64087" w:rsidRPr="002A732D" w:rsidRDefault="00D64087" w:rsidP="00EB66F1">
            <w:pPr>
              <w:rPr>
                <w:i/>
              </w:rPr>
            </w:pPr>
            <w:r>
              <w:t>Coal gasification</w:t>
            </w:r>
          </w:p>
        </w:tc>
        <w:tc>
          <w:tcPr>
            <w:tcW w:w="787" w:type="pct"/>
          </w:tcPr>
          <w:p w14:paraId="5BEE75BD" w14:textId="1D753B50" w:rsidR="00D64087" w:rsidRPr="00A456E7" w:rsidRDefault="00D64087" w:rsidP="00A456E7">
            <w:pPr>
              <w:cnfStyle w:val="000000000000" w:firstRow="0" w:lastRow="0" w:firstColumn="0" w:lastColumn="0" w:oddVBand="0" w:evenVBand="0" w:oddHBand="0" w:evenHBand="0" w:firstRowFirstColumn="0" w:firstRowLastColumn="0" w:lastRowFirstColumn="0" w:lastRowLastColumn="0"/>
              <w:rPr>
                <w:b/>
                <w:bCs/>
              </w:rPr>
            </w:pPr>
            <w:r w:rsidRPr="002A732D">
              <w:rPr>
                <w:i/>
                <w:iCs/>
              </w:rPr>
              <w:t>Air products</w:t>
            </w:r>
          </w:p>
          <w:p w14:paraId="3BC82221" w14:textId="165D9D5B" w:rsidR="00D64087" w:rsidRPr="00DD0E9E" w:rsidRDefault="00D64087" w:rsidP="00EB66F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bCs/>
              </w:rPr>
            </w:pPr>
            <w:r>
              <w:t>Nitrogen</w:t>
            </w:r>
          </w:p>
          <w:p w14:paraId="09ABAE84" w14:textId="5A77E4DD" w:rsidR="00D64087" w:rsidRPr="00DD0E9E" w:rsidRDefault="00D64087" w:rsidP="00EB66F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rPr>
            </w:pPr>
            <w:r>
              <w:t>Argon.</w:t>
            </w:r>
          </w:p>
        </w:tc>
        <w:tc>
          <w:tcPr>
            <w:tcW w:w="1489" w:type="pct"/>
          </w:tcPr>
          <w:p w14:paraId="173AB0AC" w14:textId="5CF297D2" w:rsidR="00D64087" w:rsidRDefault="00D64087" w:rsidP="00EB66F1">
            <w:pPr>
              <w:cnfStyle w:val="000000000000" w:firstRow="0" w:lastRow="0" w:firstColumn="0" w:lastColumn="0" w:oddVBand="0" w:evenVBand="0" w:oddHBand="0" w:evenHBand="0" w:firstRowFirstColumn="0" w:firstRowLastColumn="0" w:lastRowFirstColumn="0" w:lastRowLastColumn="0"/>
            </w:pPr>
            <w:r>
              <w:t>Air separation unit</w:t>
            </w:r>
          </w:p>
        </w:tc>
        <w:tc>
          <w:tcPr>
            <w:tcW w:w="1705" w:type="pct"/>
          </w:tcPr>
          <w:p w14:paraId="56C195F6" w14:textId="1BC936B0" w:rsidR="0046525D" w:rsidRDefault="005A5D91" w:rsidP="0046525D">
            <w:pPr>
              <w:cnfStyle w:val="000000000000" w:firstRow="0" w:lastRow="0" w:firstColumn="0" w:lastColumn="0" w:oddVBand="0" w:evenVBand="0" w:oddHBand="0" w:evenHBand="0" w:firstRowFirstColumn="0" w:firstRowLastColumn="0" w:lastRowFirstColumn="0" w:lastRowLastColumn="0"/>
            </w:pPr>
            <w:r>
              <w:t>Process-property relationship</w:t>
            </w:r>
            <w:r w:rsidR="00014F74">
              <w:t>,</w:t>
            </w:r>
            <w:r w:rsidR="008C3383">
              <w:t xml:space="preserve"> using IPHE output ratios</w:t>
            </w:r>
            <w:r w:rsidR="0046525D">
              <w:t>:</w:t>
            </w:r>
          </w:p>
          <w:p w14:paraId="159A4482" w14:textId="2A43D319" w:rsidR="0046525D" w:rsidRDefault="00E732B3" w:rsidP="0046525D">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Oxygen </w:t>
            </w:r>
            <w:r w:rsidR="00BD211B">
              <w:t>22.2</w:t>
            </w:r>
            <w:r>
              <w:t>%</w:t>
            </w:r>
            <w:r w:rsidR="0002451C">
              <w:t>w/w</w:t>
            </w:r>
          </w:p>
          <w:p w14:paraId="24CB651E" w14:textId="05ACB765" w:rsidR="00E732B3" w:rsidRDefault="00E732B3" w:rsidP="0046525D">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Nitrogen </w:t>
            </w:r>
            <w:r w:rsidR="00BA3469">
              <w:t>76.9</w:t>
            </w:r>
            <w:r>
              <w:t>%</w:t>
            </w:r>
            <w:r w:rsidR="0002451C">
              <w:t>w/w</w:t>
            </w:r>
          </w:p>
          <w:p w14:paraId="66FE7AF8" w14:textId="7688F139" w:rsidR="00E732B3" w:rsidRDefault="00E732B3" w:rsidP="0046525D">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Argon 0.9%</w:t>
            </w:r>
            <w:r w:rsidR="0002451C">
              <w:t>w/w</w:t>
            </w:r>
          </w:p>
        </w:tc>
      </w:tr>
      <w:tr w:rsidR="0046525D" w14:paraId="228C2C87" w14:textId="7F143042" w:rsidTr="00914EF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19" w:type="pct"/>
          </w:tcPr>
          <w:p w14:paraId="66A064F7" w14:textId="1F568D63" w:rsidR="00D64087" w:rsidRPr="002A732D" w:rsidRDefault="00D64087" w:rsidP="00EB66F1">
            <w:pPr>
              <w:rPr>
                <w:i/>
              </w:rPr>
            </w:pPr>
            <w:r>
              <w:t>Coal gasification</w:t>
            </w:r>
          </w:p>
        </w:tc>
        <w:tc>
          <w:tcPr>
            <w:tcW w:w="787" w:type="pct"/>
          </w:tcPr>
          <w:p w14:paraId="19880740" w14:textId="0B26B2A7" w:rsidR="00D64087" w:rsidRDefault="00D64087" w:rsidP="00EB66F1">
            <w:pPr>
              <w:cnfStyle w:val="000000100000" w:firstRow="0" w:lastRow="0" w:firstColumn="0" w:lastColumn="0" w:oddVBand="0" w:evenVBand="0" w:oddHBand="1" w:evenHBand="0" w:firstRowFirstColumn="0" w:firstRowLastColumn="0" w:lastRowFirstColumn="0" w:lastRowLastColumn="0"/>
            </w:pPr>
            <w:r w:rsidRPr="002A732D">
              <w:rPr>
                <w:i/>
                <w:iCs/>
              </w:rPr>
              <w:t>Liquid hydrocarbon</w:t>
            </w:r>
          </w:p>
        </w:tc>
        <w:tc>
          <w:tcPr>
            <w:tcW w:w="1489" w:type="pct"/>
          </w:tcPr>
          <w:p w14:paraId="633132DC" w14:textId="4FA66A7B" w:rsidR="00D64087" w:rsidRDefault="00D64087" w:rsidP="00EB66F1">
            <w:pPr>
              <w:cnfStyle w:val="000000100000" w:firstRow="0" w:lastRow="0" w:firstColumn="0" w:lastColumn="0" w:oddVBand="0" w:evenVBand="0" w:oddHBand="1" w:evenHBand="0" w:firstRowFirstColumn="0" w:firstRowLastColumn="0" w:lastRowFirstColumn="0" w:lastRowLastColumn="0"/>
            </w:pPr>
            <w:r>
              <w:t>Core gasification units</w:t>
            </w:r>
          </w:p>
        </w:tc>
        <w:tc>
          <w:tcPr>
            <w:tcW w:w="1705" w:type="pct"/>
          </w:tcPr>
          <w:p w14:paraId="448C6231" w14:textId="132F90DC" w:rsidR="00D64087" w:rsidRDefault="00024BC9" w:rsidP="00EB66F1">
            <w:pPr>
              <w:cnfStyle w:val="000000100000" w:firstRow="0" w:lastRow="0" w:firstColumn="0" w:lastColumn="0" w:oddVBand="0" w:evenVBand="0" w:oddHBand="1" w:evenHBand="0" w:firstRowFirstColumn="0" w:firstRowLastColumn="0" w:lastRowFirstColumn="0" w:lastRowLastColumn="0"/>
            </w:pPr>
            <w:r>
              <w:t xml:space="preserve">System expansion using a </w:t>
            </w:r>
            <w:r w:rsidR="007E51F5">
              <w:t>to-be-</w:t>
            </w:r>
            <w:r>
              <w:t>defined alternative system.</w:t>
            </w:r>
          </w:p>
        </w:tc>
      </w:tr>
      <w:tr w:rsidR="00D64087" w14:paraId="5ED0D4E1" w14:textId="1DE43A33" w:rsidTr="00914EFD">
        <w:trPr>
          <w:trHeight w:val="624"/>
        </w:trPr>
        <w:tc>
          <w:tcPr>
            <w:cnfStyle w:val="001000000000" w:firstRow="0" w:lastRow="0" w:firstColumn="1" w:lastColumn="0" w:oddVBand="0" w:evenVBand="0" w:oddHBand="0" w:evenHBand="0" w:firstRowFirstColumn="0" w:firstRowLastColumn="0" w:lastRowFirstColumn="0" w:lastRowLastColumn="0"/>
            <w:tcW w:w="1019" w:type="pct"/>
          </w:tcPr>
          <w:p w14:paraId="499A34F7" w14:textId="567AD792" w:rsidR="00D64087" w:rsidRPr="002A732D" w:rsidRDefault="00D64087" w:rsidP="00EB66F1">
            <w:pPr>
              <w:rPr>
                <w:i/>
              </w:rPr>
            </w:pPr>
            <w:r>
              <w:t>Coal gasification</w:t>
            </w:r>
          </w:p>
        </w:tc>
        <w:tc>
          <w:tcPr>
            <w:tcW w:w="787" w:type="pct"/>
          </w:tcPr>
          <w:p w14:paraId="0612F78A" w14:textId="10528A8E" w:rsidR="00D64087" w:rsidRDefault="00D64087" w:rsidP="00EB66F1">
            <w:pPr>
              <w:cnfStyle w:val="000000000000" w:firstRow="0" w:lastRow="0" w:firstColumn="0" w:lastColumn="0" w:oddVBand="0" w:evenVBand="0" w:oddHBand="0" w:evenHBand="0" w:firstRowFirstColumn="0" w:firstRowLastColumn="0" w:lastRowFirstColumn="0" w:lastRowLastColumn="0"/>
            </w:pPr>
            <w:r w:rsidRPr="002A732D">
              <w:rPr>
                <w:i/>
                <w:iCs/>
              </w:rPr>
              <w:t>Coke</w:t>
            </w:r>
          </w:p>
        </w:tc>
        <w:tc>
          <w:tcPr>
            <w:tcW w:w="1489" w:type="pct"/>
          </w:tcPr>
          <w:p w14:paraId="65FA6853" w14:textId="726ED8CF" w:rsidR="00D64087" w:rsidRDefault="00D64087" w:rsidP="00EB66F1">
            <w:pPr>
              <w:cnfStyle w:val="000000000000" w:firstRow="0" w:lastRow="0" w:firstColumn="0" w:lastColumn="0" w:oddVBand="0" w:evenVBand="0" w:oddHBand="0" w:evenHBand="0" w:firstRowFirstColumn="0" w:firstRowLastColumn="0" w:lastRowFirstColumn="0" w:lastRowLastColumn="0"/>
            </w:pPr>
            <w:r>
              <w:t>Core gasification units</w:t>
            </w:r>
          </w:p>
        </w:tc>
        <w:tc>
          <w:tcPr>
            <w:tcW w:w="1705" w:type="pct"/>
          </w:tcPr>
          <w:p w14:paraId="57997CA9" w14:textId="72838055" w:rsidR="00D64087" w:rsidRDefault="00024BC9" w:rsidP="00EB66F1">
            <w:pPr>
              <w:cnfStyle w:val="000000000000" w:firstRow="0" w:lastRow="0" w:firstColumn="0" w:lastColumn="0" w:oddVBand="0" w:evenVBand="0" w:oddHBand="0" w:evenHBand="0" w:firstRowFirstColumn="0" w:firstRowLastColumn="0" w:lastRowFirstColumn="0" w:lastRowLastColumn="0"/>
            </w:pPr>
            <w:r>
              <w:t xml:space="preserve">System expansion using a </w:t>
            </w:r>
            <w:r w:rsidR="007E51F5">
              <w:t>to-be-</w:t>
            </w:r>
            <w:r>
              <w:t>defined alternative system.</w:t>
            </w:r>
          </w:p>
        </w:tc>
      </w:tr>
      <w:tr w:rsidR="00F25916" w14:paraId="249AE24A" w14:textId="77777777" w:rsidTr="00914EF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19" w:type="pct"/>
          </w:tcPr>
          <w:p w14:paraId="03B23F02" w14:textId="3B578AA3" w:rsidR="00F25916" w:rsidRDefault="00F25916" w:rsidP="00EB66F1">
            <w:r>
              <w:t>Coal gasification</w:t>
            </w:r>
          </w:p>
        </w:tc>
        <w:tc>
          <w:tcPr>
            <w:tcW w:w="787" w:type="pct"/>
          </w:tcPr>
          <w:p w14:paraId="6827DFC1" w14:textId="59919E31" w:rsidR="00F25916" w:rsidRPr="002A732D" w:rsidRDefault="00F25916" w:rsidP="00EB66F1">
            <w:pPr>
              <w:cnfStyle w:val="000000100000" w:firstRow="0" w:lastRow="0" w:firstColumn="0" w:lastColumn="0" w:oddVBand="0" w:evenVBand="0" w:oddHBand="1" w:evenHBand="0" w:firstRowFirstColumn="0" w:firstRowLastColumn="0" w:lastRowFirstColumn="0" w:lastRowLastColumn="0"/>
              <w:rPr>
                <w:i/>
                <w:iCs/>
              </w:rPr>
            </w:pPr>
            <w:r>
              <w:rPr>
                <w:i/>
                <w:iCs/>
              </w:rPr>
              <w:t>Ash/Slag</w:t>
            </w:r>
          </w:p>
        </w:tc>
        <w:tc>
          <w:tcPr>
            <w:tcW w:w="1489" w:type="pct"/>
          </w:tcPr>
          <w:p w14:paraId="5CBFD983" w14:textId="7239021B" w:rsidR="00F25916" w:rsidRDefault="00F25916" w:rsidP="00EB66F1">
            <w:pPr>
              <w:cnfStyle w:val="000000100000" w:firstRow="0" w:lastRow="0" w:firstColumn="0" w:lastColumn="0" w:oddVBand="0" w:evenVBand="0" w:oddHBand="1" w:evenHBand="0" w:firstRowFirstColumn="0" w:firstRowLastColumn="0" w:lastRowFirstColumn="0" w:lastRowLastColumn="0"/>
            </w:pPr>
            <w:r>
              <w:t>Core gasification units</w:t>
            </w:r>
          </w:p>
        </w:tc>
        <w:tc>
          <w:tcPr>
            <w:tcW w:w="1705" w:type="pct"/>
          </w:tcPr>
          <w:p w14:paraId="47084DBB" w14:textId="65B42065" w:rsidR="00F25916" w:rsidRDefault="00F25916" w:rsidP="00EB66F1">
            <w:pPr>
              <w:cnfStyle w:val="000000100000" w:firstRow="0" w:lastRow="0" w:firstColumn="0" w:lastColumn="0" w:oddVBand="0" w:evenVBand="0" w:oddHBand="1" w:evenHBand="0" w:firstRowFirstColumn="0" w:firstRowLastColumn="0" w:lastRowFirstColumn="0" w:lastRowLastColumn="0"/>
            </w:pPr>
            <w:r>
              <w:t>System expansion</w:t>
            </w:r>
            <w:r w:rsidR="003F3512">
              <w:t xml:space="preserve"> using a </w:t>
            </w:r>
            <w:r w:rsidR="007E51F5">
              <w:t>to-be-</w:t>
            </w:r>
            <w:r w:rsidR="003F3512">
              <w:t xml:space="preserve">defined alternative system. </w:t>
            </w:r>
          </w:p>
        </w:tc>
      </w:tr>
      <w:tr w:rsidR="00A456E7" w14:paraId="4881409E" w14:textId="070A181D" w:rsidTr="008E7E7E">
        <w:trPr>
          <w:trHeight w:val="850"/>
        </w:trPr>
        <w:tc>
          <w:tcPr>
            <w:cnfStyle w:val="001000000000" w:firstRow="0" w:lastRow="0" w:firstColumn="1" w:lastColumn="0" w:oddVBand="0" w:evenVBand="0" w:oddHBand="0" w:evenHBand="0" w:firstRowFirstColumn="0" w:firstRowLastColumn="0" w:lastRowFirstColumn="0" w:lastRowLastColumn="0"/>
            <w:tcW w:w="1019" w:type="pct"/>
          </w:tcPr>
          <w:p w14:paraId="16A9238B" w14:textId="41ACD641" w:rsidR="00D64087" w:rsidRPr="002A732D" w:rsidRDefault="00D64087" w:rsidP="00EB66F1">
            <w:pPr>
              <w:rPr>
                <w:i/>
              </w:rPr>
            </w:pPr>
            <w:r>
              <w:t>Coal gasification</w:t>
            </w:r>
          </w:p>
        </w:tc>
        <w:tc>
          <w:tcPr>
            <w:tcW w:w="787" w:type="pct"/>
          </w:tcPr>
          <w:p w14:paraId="0C56F932" w14:textId="1C662BC0" w:rsidR="00D64087" w:rsidRDefault="00D64087" w:rsidP="00EB66F1">
            <w:pPr>
              <w:cnfStyle w:val="000000000000" w:firstRow="0" w:lastRow="0" w:firstColumn="0" w:lastColumn="0" w:oddVBand="0" w:evenVBand="0" w:oddHBand="0" w:evenHBand="0" w:firstRowFirstColumn="0" w:firstRowLastColumn="0" w:lastRowFirstColumn="0" w:lastRowLastColumn="0"/>
            </w:pPr>
            <w:r w:rsidRPr="002A732D">
              <w:rPr>
                <w:i/>
                <w:iCs/>
              </w:rPr>
              <w:t>Sulphur</w:t>
            </w:r>
          </w:p>
        </w:tc>
        <w:tc>
          <w:tcPr>
            <w:tcW w:w="1489" w:type="pct"/>
          </w:tcPr>
          <w:p w14:paraId="55F7B635" w14:textId="77777777" w:rsidR="00D64087" w:rsidRDefault="00D64087" w:rsidP="00EB66F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Coal processing</w:t>
            </w:r>
          </w:p>
          <w:p w14:paraId="3C7B0736" w14:textId="77777777" w:rsidR="00D64087" w:rsidRDefault="00D64087" w:rsidP="00EB66F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Air separation unit</w:t>
            </w:r>
          </w:p>
          <w:p w14:paraId="5142A94E" w14:textId="77777777" w:rsidR="00D64087" w:rsidRDefault="00D64087" w:rsidP="00EB66F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Core gasification units</w:t>
            </w:r>
          </w:p>
          <w:p w14:paraId="2F2FA7A1" w14:textId="51A8DD0B" w:rsidR="00D64087" w:rsidRDefault="00D64087" w:rsidP="00EB66F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Syngas conditioning (including </w:t>
            </w:r>
            <w:proofErr w:type="spellStart"/>
            <w:r>
              <w:t>DeSOx</w:t>
            </w:r>
            <w:proofErr w:type="spellEnd"/>
            <w:r>
              <w:t xml:space="preserve"> and WGS)</w:t>
            </w:r>
          </w:p>
        </w:tc>
        <w:tc>
          <w:tcPr>
            <w:tcW w:w="1705" w:type="pct"/>
          </w:tcPr>
          <w:p w14:paraId="294BBB65" w14:textId="48189F2A" w:rsidR="00D64087" w:rsidRDefault="00AF65FF" w:rsidP="00626670">
            <w:pPr>
              <w:cnfStyle w:val="000000000000" w:firstRow="0" w:lastRow="0" w:firstColumn="0" w:lastColumn="0" w:oddVBand="0" w:evenVBand="0" w:oddHBand="0" w:evenHBand="0" w:firstRowFirstColumn="0" w:firstRowLastColumn="0" w:lastRowFirstColumn="0" w:lastRowLastColumn="0"/>
            </w:pPr>
            <w:r>
              <w:t>Energy value allocation, or process-property relationship</w:t>
            </w:r>
          </w:p>
        </w:tc>
      </w:tr>
    </w:tbl>
    <w:p w14:paraId="058BECA0" w14:textId="16DCCC08" w:rsidR="004C0BA9" w:rsidRDefault="004C0BA9" w:rsidP="001A3483">
      <w:pPr>
        <w:pStyle w:val="Heading4"/>
        <w:numPr>
          <w:ilvl w:val="0"/>
          <w:numId w:val="0"/>
        </w:numPr>
        <w:spacing w:before="200"/>
      </w:pPr>
      <w:r>
        <w:t>Proposed approach to co-product allocation</w:t>
      </w:r>
    </w:p>
    <w:p w14:paraId="7637A55E" w14:textId="71637221" w:rsidR="006A1806" w:rsidRDefault="0059233D" w:rsidP="00A37738">
      <w:r>
        <w:t xml:space="preserve">The proposed approach to co-product allocation is </w:t>
      </w:r>
      <w:r w:rsidR="006A1806">
        <w:t>to</w:t>
      </w:r>
      <w:r w:rsidR="00F05C47">
        <w:t xml:space="preserve"> set out a modelled </w:t>
      </w:r>
      <w:r w:rsidR="00F74671">
        <w:t>proportion of the</w:t>
      </w:r>
      <w:r w:rsidR="00F11A47">
        <w:t xml:space="preserve"> </w:t>
      </w:r>
      <w:r w:rsidR="00080AC2">
        <w:t>production boundary</w:t>
      </w:r>
      <w:r w:rsidR="00F74671">
        <w:t xml:space="preserve"> emissions that are attributable to the relevant co-products. </w:t>
      </w:r>
      <w:r w:rsidR="007D1107">
        <w:t xml:space="preserve">This modelled proportion can be calculated </w:t>
      </w:r>
      <w:r w:rsidR="00935D43">
        <w:t xml:space="preserve">and reported </w:t>
      </w:r>
      <w:r w:rsidR="007D1107">
        <w:t xml:space="preserve">as part of the product profile registration process and </w:t>
      </w:r>
      <w:r w:rsidR="00935D43">
        <w:t xml:space="preserve">will be used </w:t>
      </w:r>
      <w:r w:rsidR="007D1107">
        <w:t>as a static variable that is applied during the creation claim process.</w:t>
      </w:r>
      <w:r w:rsidR="00935D43">
        <w:t xml:space="preserve"> There may be some ongoing validation checks to ensure the co-products are still being produced </w:t>
      </w:r>
      <w:r w:rsidR="00192CF0">
        <w:t>and have a legitimate financial value.</w:t>
      </w:r>
    </w:p>
    <w:p w14:paraId="049040FB" w14:textId="16EE53EB" w:rsidR="004C0BA9" w:rsidRDefault="004C0BA9" w:rsidP="004C0BA9">
      <w:r>
        <w:t xml:space="preserve">Through the creation claim process, the modelled co-product allocation proportion value can then be used to remove the relevant proportion of the other emissions within the </w:t>
      </w:r>
      <w:r w:rsidR="00080AC2">
        <w:t>production boundary</w:t>
      </w:r>
      <w:r>
        <w:t xml:space="preserve"> from the overall </w:t>
      </w:r>
      <w:r w:rsidR="00080AC2">
        <w:t>production boundary</w:t>
      </w:r>
      <w:r>
        <w:t xml:space="preserve"> emissions inventory.</w:t>
      </w:r>
    </w:p>
    <w:p w14:paraId="002298C2" w14:textId="3E1D51A3" w:rsidR="00C25E03" w:rsidRDefault="002C6FAF" w:rsidP="00C43646">
      <w:pPr>
        <w:spacing w:after="0"/>
      </w:pPr>
      <w:r>
        <w:t xml:space="preserve">An alternative approach would be for the co-product allocation to be calculated </w:t>
      </w:r>
      <w:r w:rsidR="001822FD">
        <w:t>bespoke each</w:t>
      </w:r>
      <w:r>
        <w:t xml:space="preserve"> time </w:t>
      </w:r>
      <w:r w:rsidR="004C0BA9">
        <w:t>a</w:t>
      </w:r>
      <w:r w:rsidR="00A85DC1">
        <w:t xml:space="preserve"> creation claim is submitted</w:t>
      </w:r>
      <w:r>
        <w:t xml:space="preserve">. This </w:t>
      </w:r>
      <w:r w:rsidR="00A85DC1">
        <w:t xml:space="preserve">alternative </w:t>
      </w:r>
      <w:r>
        <w:t xml:space="preserve">approach would provide more </w:t>
      </w:r>
      <w:r w:rsidR="00F43EBD">
        <w:t xml:space="preserve">accurate </w:t>
      </w:r>
      <w:r>
        <w:t>data</w:t>
      </w:r>
      <w:r w:rsidR="0003000A">
        <w:t>. H</w:t>
      </w:r>
      <w:r>
        <w:t>owever</w:t>
      </w:r>
      <w:r w:rsidR="0003000A">
        <w:t>,</w:t>
      </w:r>
      <w:r>
        <w:t xml:space="preserve"> it </w:t>
      </w:r>
      <w:r w:rsidR="00F43EBD">
        <w:t>would substantially increase the reporting burden of the GO scheme.</w:t>
      </w:r>
    </w:p>
    <w:tbl>
      <w:tblPr>
        <w:tblStyle w:val="CERCallout"/>
        <w:tblpPr w:leftFromText="180" w:rightFromText="180" w:vertAnchor="text" w:horzAnchor="margin" w:tblpY="283"/>
        <w:tblW w:w="5000" w:type="pct"/>
        <w:tblLook w:val="0480" w:firstRow="0" w:lastRow="0" w:firstColumn="1" w:lastColumn="0" w:noHBand="0" w:noVBand="1"/>
        <w:tblCaption w:val="test"/>
        <w:tblDescription w:val="tesst"/>
      </w:tblPr>
      <w:tblGrid>
        <w:gridCol w:w="8996"/>
      </w:tblGrid>
      <w:tr w:rsidR="008B43F3" w14:paraId="7DFE86A2" w14:textId="77777777" w:rsidTr="004B45EC">
        <w:trPr>
          <w:cantSplit w:val="0"/>
        </w:trPr>
        <w:tc>
          <w:tcPr>
            <w:tcW w:w="0" w:type="pct"/>
          </w:tcPr>
          <w:p w14:paraId="3EFB85CF" w14:textId="1F35C7D9" w:rsidR="008B43F3" w:rsidRPr="00C209F1" w:rsidRDefault="003A04CF" w:rsidP="00805A97">
            <w:pPr>
              <w:pStyle w:val="Heading4"/>
              <w:numPr>
                <w:ilvl w:val="0"/>
                <w:numId w:val="0"/>
              </w:numPr>
              <w:spacing w:before="0" w:beforeAutospacing="0" w:after="160"/>
              <w:rPr>
                <w:b/>
                <w:bCs/>
                <w:i w:val="0"/>
                <w:iCs/>
              </w:rPr>
            </w:pPr>
            <w:bookmarkStart w:id="158" w:name="_Hlk131012042"/>
            <w:r>
              <w:rPr>
                <w:b/>
                <w:bCs/>
                <w:i w:val="0"/>
                <w:iCs/>
              </w:rPr>
              <w:t>Co-product a</w:t>
            </w:r>
            <w:r w:rsidR="008B43F3">
              <w:rPr>
                <w:b/>
                <w:bCs/>
                <w:i w:val="0"/>
                <w:iCs/>
              </w:rPr>
              <w:t>llocation approach in practice</w:t>
            </w:r>
          </w:p>
          <w:p w14:paraId="524925EC" w14:textId="70374010" w:rsidR="008B43F3" w:rsidRDefault="008B43F3" w:rsidP="00805A97">
            <w:pPr>
              <w:spacing w:before="0" w:beforeAutospacing="0" w:after="160"/>
            </w:pPr>
            <w:r>
              <w:t xml:space="preserve">Facility A is an electrolysis plant that has determined that the proportion of emissions within their </w:t>
            </w:r>
            <w:r w:rsidR="00080AC2">
              <w:t>production boundary</w:t>
            </w:r>
            <w:r>
              <w:t xml:space="preserve"> that is associated with the co-product oxygen is 0.20</w:t>
            </w:r>
            <w:r w:rsidR="00A00AC2">
              <w:t xml:space="preserve"> (20%)</w:t>
            </w:r>
            <w:r>
              <w:t xml:space="preserve">. They have also calculated the emissions throughout their </w:t>
            </w:r>
            <w:r w:rsidR="00080AC2">
              <w:t>production boundary</w:t>
            </w:r>
            <w:r>
              <w:t xml:space="preserve"> are; </w:t>
            </w:r>
            <w:r w:rsidRPr="00C720D4">
              <w:t>20 kg CO</w:t>
            </w:r>
            <w:r w:rsidRPr="00C720D4">
              <w:rPr>
                <w:vertAlign w:val="subscript"/>
              </w:rPr>
              <w:softHyphen/>
              <w:t>2</w:t>
            </w:r>
            <w:r w:rsidRPr="00C720D4">
              <w:t>-e total upstream emissions</w:t>
            </w:r>
            <w:r>
              <w:t>, 15</w:t>
            </w:r>
            <w:r w:rsidRPr="00C720D4">
              <w:t xml:space="preserve"> kg CO</w:t>
            </w:r>
            <w:r w:rsidRPr="00C720D4">
              <w:rPr>
                <w:vertAlign w:val="subscript"/>
              </w:rPr>
              <w:softHyphen/>
              <w:t>2</w:t>
            </w:r>
            <w:r w:rsidRPr="00C720D4">
              <w:t>-e</w:t>
            </w:r>
            <w:r>
              <w:t xml:space="preserve"> total direct emissions, 30 </w:t>
            </w:r>
            <w:r w:rsidRPr="00C720D4">
              <w:t xml:space="preserve">kg </w:t>
            </w:r>
            <w:r>
              <w:t>CO</w:t>
            </w:r>
            <w:r w:rsidRPr="30101D5C">
              <w:rPr>
                <w:vertAlign w:val="subscript"/>
              </w:rPr>
              <w:t>2</w:t>
            </w:r>
            <w:r w:rsidRPr="00C720D4">
              <w:t>-e</w:t>
            </w:r>
            <w:r>
              <w:t xml:space="preserve"> total electricity emissions, 5 </w:t>
            </w:r>
            <w:r w:rsidRPr="00C720D4">
              <w:t xml:space="preserve">kg </w:t>
            </w:r>
            <w:r>
              <w:t>CO</w:t>
            </w:r>
            <w:r w:rsidRPr="30101D5C">
              <w:rPr>
                <w:vertAlign w:val="subscript"/>
              </w:rPr>
              <w:t>2</w:t>
            </w:r>
            <w:r w:rsidRPr="00C720D4">
              <w:t>-e</w:t>
            </w:r>
            <w:r>
              <w:t xml:space="preserve"> total CCS emissions deduction.</w:t>
            </w:r>
          </w:p>
          <w:p w14:paraId="5B40B2C3" w14:textId="77777777" w:rsidR="008B43F3" w:rsidRDefault="008B43F3" w:rsidP="00805A97">
            <w:pPr>
              <w:spacing w:before="0" w:beforeAutospacing="0" w:after="160"/>
            </w:pPr>
            <w:r>
              <w:t>The proposed co-product allocation approach is:</w:t>
            </w:r>
          </w:p>
          <w:p w14:paraId="5C16CF7C" w14:textId="533548B7" w:rsidR="008B43F3" w:rsidRPr="00FA0EC7" w:rsidRDefault="00015FB3" w:rsidP="00805A97">
            <w:pPr>
              <w:spacing w:before="0" w:beforeAutospacing="0" w:after="160"/>
              <w:rPr>
                <w:rFonts w:eastAsiaTheme="minorEastAsia"/>
                <w:b/>
                <w:bCs/>
              </w:rPr>
            </w:pPr>
            <m:oMathPara>
              <m:oMath>
                <m:sSub>
                  <m:sSubPr>
                    <m:ctrlPr>
                      <w:rPr>
                        <w:rFonts w:ascii="Cambria Math" w:hAnsi="Cambria Math"/>
                        <w:b/>
                        <w:bCs/>
                        <w:i/>
                      </w:rPr>
                    </m:ctrlPr>
                  </m:sSubPr>
                  <m:e>
                    <m:r>
                      <m:rPr>
                        <m:sty m:val="bi"/>
                      </m:rPr>
                      <w:rPr>
                        <w:rFonts w:ascii="Cambria Math" w:hAnsi="Cambria Math"/>
                      </w:rPr>
                      <m:t>E</m:t>
                    </m:r>
                    <m:ctrlPr>
                      <w:rPr>
                        <w:rFonts w:ascii="Cambria Math" w:hAnsi="Cambria Math"/>
                        <w:b/>
                        <w:bCs/>
                        <w:i/>
                        <w:iCs/>
                      </w:rPr>
                    </m:ctrlPr>
                  </m:e>
                  <m:sub>
                    <m:r>
                      <m:rPr>
                        <m:sty m:val="bi"/>
                      </m:rPr>
                      <w:rPr>
                        <w:rFonts w:ascii="Cambria Math" w:hAnsi="Cambria Math"/>
                      </w:rPr>
                      <m:t>cp</m:t>
                    </m:r>
                  </m:sub>
                </m:sSub>
                <m:r>
                  <m:rPr>
                    <m:sty m:val="bi"/>
                  </m:rPr>
                  <w:rPr>
                    <w:rFonts w:ascii="Cambria Math" w:hAnsi="Cambria Math"/>
                  </w:rPr>
                  <m:t>=</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Upstream</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Direct</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electricity</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CCS</m:t>
                        </m:r>
                      </m:sub>
                    </m:sSub>
                  </m:e>
                </m:d>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cp</m:t>
                    </m:r>
                  </m:sub>
                </m:sSub>
              </m:oMath>
            </m:oMathPara>
          </w:p>
          <w:p w14:paraId="7222B06B" w14:textId="77777777" w:rsidR="008B43F3" w:rsidRDefault="008B43F3" w:rsidP="00805A97">
            <w:pPr>
              <w:spacing w:before="0" w:beforeAutospacing="0" w:after="160"/>
            </w:pPr>
            <w:r>
              <w:t>Where:</w:t>
            </w:r>
          </w:p>
          <w:p w14:paraId="680E309C" w14:textId="338CCC5D" w:rsidR="00D111DB" w:rsidRPr="007C4039" w:rsidRDefault="00785FEC" w:rsidP="00805A97">
            <w:pPr>
              <w:spacing w:before="0" w:beforeAutospacing="0" w:after="160"/>
            </w:pPr>
            <m:oMath>
              <m:sSub>
                <m:sSubPr>
                  <m:ctrlPr>
                    <w:rPr>
                      <w:rFonts w:ascii="Cambria Math" w:hAnsi="Cambria Math"/>
                      <w:b/>
                      <w:bCs/>
                      <w:i/>
                    </w:rPr>
                  </m:ctrlPr>
                </m:sSubPr>
                <m:e>
                  <m:r>
                    <m:rPr>
                      <m:sty m:val="bi"/>
                    </m:rPr>
                    <w:rPr>
                      <w:rFonts w:ascii="Cambria Math" w:hAnsi="Cambria Math"/>
                    </w:rPr>
                    <m:t>E</m:t>
                  </m:r>
                  <m:ctrlPr>
                    <w:rPr>
                      <w:rFonts w:ascii="Cambria Math" w:hAnsi="Cambria Math"/>
                      <w:b/>
                      <w:bCs/>
                      <w:i/>
                      <w:iCs/>
                    </w:rPr>
                  </m:ctrlPr>
                </m:e>
                <m:sub>
                  <m:r>
                    <m:rPr>
                      <m:sty m:val="bi"/>
                    </m:rPr>
                    <w:rPr>
                      <w:rFonts w:ascii="Cambria Math" w:hAnsi="Cambria Math"/>
                    </w:rPr>
                    <m:t>cp</m:t>
                  </m:r>
                </m:sub>
              </m:sSub>
            </m:oMath>
            <w:r w:rsidR="00D111DB" w:rsidRPr="007C4039">
              <w:rPr>
                <w:rFonts w:eastAsiaTheme="minorEastAsia"/>
                <w:b/>
                <w:bCs/>
              </w:rPr>
              <w:t xml:space="preserve"> </w:t>
            </w:r>
            <w:r w:rsidR="00D111DB" w:rsidRPr="007C4039">
              <w:rPr>
                <w:rFonts w:eastAsiaTheme="minorEastAsia"/>
              </w:rPr>
              <w:t>is the emissions allocated to co-product,</w:t>
            </w:r>
          </w:p>
          <w:p w14:paraId="37D6FA0C" w14:textId="085CE011" w:rsidR="008B43F3" w:rsidRDefault="00785FEC" w:rsidP="00A7502A">
            <w:pPr>
              <w:spacing w:before="0" w:beforeAutospacing="0" w:after="160"/>
              <w:ind w:left="251"/>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Upstream</m:t>
                  </m:r>
                </m:sub>
              </m:sSub>
            </m:oMath>
            <w:r w:rsidR="008B43F3">
              <w:t>is the total upstream emissions,</w:t>
            </w:r>
          </w:p>
          <w:p w14:paraId="4D437DE4" w14:textId="78C3C31B" w:rsidR="008B43F3" w:rsidRDefault="00785FEC" w:rsidP="00A7502A">
            <w:pPr>
              <w:spacing w:before="0" w:beforeAutospacing="0" w:after="160"/>
              <w:ind w:left="251"/>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Direct</m:t>
                  </m:r>
                </m:sub>
              </m:sSub>
            </m:oMath>
            <w:r w:rsidR="008B43F3">
              <w:t>is the total direct emissions (including combustion and accrued emissions)</w:t>
            </w:r>
            <w:r w:rsidR="00511C29">
              <w:t>,</w:t>
            </w:r>
          </w:p>
          <w:p w14:paraId="3141845F" w14:textId="6FEC7E4E" w:rsidR="008B43F3" w:rsidRDefault="00785FEC" w:rsidP="00A7502A">
            <w:pPr>
              <w:spacing w:before="0" w:beforeAutospacing="0" w:after="160"/>
              <w:ind w:left="251"/>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Electricity</m:t>
                  </m:r>
                </m:sub>
              </m:sSub>
            </m:oMath>
            <w:r w:rsidR="008B43F3">
              <w:t>is the total electricity emissions</w:t>
            </w:r>
            <w:r w:rsidR="00511C29">
              <w:t>,</w:t>
            </w:r>
          </w:p>
          <w:p w14:paraId="3980039C" w14:textId="7B543313" w:rsidR="008B43F3" w:rsidRDefault="00785FEC" w:rsidP="00A7502A">
            <w:pPr>
              <w:spacing w:before="0" w:beforeAutospacing="0" w:after="160"/>
              <w:ind w:left="251"/>
            </w:pPr>
            <m:oMath>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CCS</m:t>
                  </m:r>
                </m:sub>
              </m:sSub>
            </m:oMath>
            <w:r w:rsidR="008B43F3">
              <w:t xml:space="preserve"> is the total CCS emissions deduction</w:t>
            </w:r>
            <w:r w:rsidR="00511C29">
              <w:t>, and</w:t>
            </w:r>
          </w:p>
          <w:p w14:paraId="7F173C01" w14:textId="1B7C2129" w:rsidR="008B43F3" w:rsidRDefault="00785FEC" w:rsidP="00A7502A">
            <w:pPr>
              <w:spacing w:before="0" w:beforeAutospacing="0" w:after="160"/>
              <w:ind w:left="251"/>
            </w:pP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cp</m:t>
                  </m:r>
                </m:sub>
              </m:sSub>
            </m:oMath>
            <w:r w:rsidR="008B43F3">
              <w:t xml:space="preserve"> is the proportion of emissions attributable to co-products</w:t>
            </w:r>
            <w:r w:rsidR="00511C29">
              <w:t>.</w:t>
            </w:r>
          </w:p>
          <w:p w14:paraId="3965E561" w14:textId="77777777" w:rsidR="008B43F3" w:rsidRDefault="008B43F3" w:rsidP="00805A97">
            <w:pPr>
              <w:spacing w:before="0" w:beforeAutospacing="0" w:after="160"/>
            </w:pPr>
            <w:r w:rsidRPr="00FE65CF">
              <w:t>Substi</w:t>
            </w:r>
            <w:r>
              <w:t>tuting the values from the above example into this equation results in:</w:t>
            </w:r>
          </w:p>
          <w:p w14:paraId="151D8D30" w14:textId="227EA603" w:rsidR="008B43F3" w:rsidRPr="00FA0EC7" w:rsidRDefault="00015FB3" w:rsidP="00805A97">
            <w:pPr>
              <w:spacing w:before="0" w:beforeAutospacing="0" w:after="160"/>
              <w:rPr>
                <w:rFonts w:eastAsiaTheme="minorEastAsia"/>
                <w:b/>
                <w:bCs/>
              </w:rPr>
            </w:pPr>
            <m:oMathPara>
              <m:oMath>
                <m:r>
                  <m:rPr>
                    <m:sty m:val="bi"/>
                  </m:rPr>
                  <w:rPr>
                    <w:rFonts w:ascii="Cambria Math" w:hAnsi="Cambria Math"/>
                  </w:rPr>
                  <m:t>12=</m:t>
                </m:r>
                <m:d>
                  <m:dPr>
                    <m:ctrlPr>
                      <w:rPr>
                        <w:rFonts w:ascii="Cambria Math" w:hAnsi="Cambria Math"/>
                        <w:b/>
                        <w:bCs/>
                        <w:i/>
                      </w:rPr>
                    </m:ctrlPr>
                  </m:dPr>
                  <m:e>
                    <m:r>
                      <m:rPr>
                        <m:sty m:val="bi"/>
                      </m:rPr>
                      <w:rPr>
                        <w:rFonts w:ascii="Cambria Math" w:hAnsi="Cambria Math"/>
                      </w:rPr>
                      <m:t>20+15+30-5</m:t>
                    </m:r>
                  </m:e>
                </m:d>
                <m:r>
                  <m:rPr>
                    <m:sty m:val="bi"/>
                  </m:rPr>
                  <w:rPr>
                    <w:rFonts w:ascii="Cambria Math" w:hAnsi="Cambria Math"/>
                  </w:rPr>
                  <m:t>×0.20</m:t>
                </m:r>
              </m:oMath>
            </m:oMathPara>
          </w:p>
          <w:p w14:paraId="29BE20D6" w14:textId="18AB07BB" w:rsidR="008B43F3" w:rsidRPr="00E813CA" w:rsidRDefault="008B43F3" w:rsidP="00805A97">
            <w:pPr>
              <w:spacing w:before="0" w:beforeAutospacing="0" w:after="160"/>
            </w:pPr>
            <w:r>
              <w:rPr>
                <w:rFonts w:eastAsiaTheme="minorEastAsia"/>
              </w:rPr>
              <w:t>This would mean that 12</w:t>
            </w:r>
            <w:r w:rsidRPr="00C720D4">
              <w:t xml:space="preserve"> kg </w:t>
            </w:r>
            <w:r>
              <w:t>CO</w:t>
            </w:r>
            <w:r w:rsidRPr="30101D5C">
              <w:rPr>
                <w:vertAlign w:val="subscript"/>
              </w:rPr>
              <w:t>2</w:t>
            </w:r>
            <w:r w:rsidRPr="00C720D4">
              <w:t>-e</w:t>
            </w:r>
            <w:r>
              <w:t xml:space="preserve"> is able to be </w:t>
            </w:r>
            <w:r w:rsidR="002C3597">
              <w:t xml:space="preserve">allocated to the co-product oxygen and </w:t>
            </w:r>
            <w:r w:rsidR="00FC3B5C">
              <w:t>deducted</w:t>
            </w:r>
            <w:r>
              <w:t xml:space="preserve"> from the emissions total of the </w:t>
            </w:r>
            <w:r w:rsidR="00080AC2">
              <w:t>production boundary</w:t>
            </w:r>
            <w:r w:rsidR="000D7A6A">
              <w:t xml:space="preserve"> attributed to the registered product</w:t>
            </w:r>
            <w:r>
              <w:t>.</w:t>
            </w:r>
          </w:p>
        </w:tc>
      </w:tr>
    </w:tbl>
    <w:bookmarkEnd w:id="158"/>
    <w:p w14:paraId="59D1C58F" w14:textId="10CE3741" w:rsidR="004C0BA9" w:rsidRDefault="004C0BA9" w:rsidP="00E702B3">
      <w:pPr>
        <w:pStyle w:val="Heading4"/>
        <w:numPr>
          <w:ilvl w:val="3"/>
          <w:numId w:val="0"/>
        </w:numPr>
        <w:spacing w:before="200"/>
      </w:pPr>
      <w:r>
        <w:t>Allocation methods</w:t>
      </w:r>
    </w:p>
    <w:p w14:paraId="75F89AF2" w14:textId="595A6F57" w:rsidR="00D829BD" w:rsidRDefault="001C1D22" w:rsidP="00A37738">
      <w:r>
        <w:t xml:space="preserve">In many cases, the emissions associated with the registered product and its co-products </w:t>
      </w:r>
      <w:r w:rsidR="00C46C47">
        <w:t xml:space="preserve">can not be independently measured. </w:t>
      </w:r>
      <w:r w:rsidR="00D829BD">
        <w:t xml:space="preserve">The GO scheme is proposed to use several methods to allocate emissions between co-products and registered products. These methods will inform how the </w:t>
      </w:r>
      <w:r w:rsidR="004A03C2">
        <w:t>modelled co-product proportion values are calculated.</w:t>
      </w:r>
      <w:r w:rsidR="009E0C60">
        <w:t xml:space="preserve"> </w:t>
      </w:r>
    </w:p>
    <w:p w14:paraId="170F318A" w14:textId="77777777" w:rsidR="004D3576" w:rsidRDefault="004D3576" w:rsidP="00A37738">
      <w:r>
        <w:t>The method selected to model the co-product proportion values should use the following order if feasible:</w:t>
      </w:r>
    </w:p>
    <w:p w14:paraId="40DFEBE2" w14:textId="5ED80407" w:rsidR="00683086" w:rsidRDefault="00683086" w:rsidP="00A27BEE">
      <w:pPr>
        <w:pStyle w:val="ListParagraph"/>
        <w:keepNext/>
        <w:keepLines/>
        <w:numPr>
          <w:ilvl w:val="0"/>
          <w:numId w:val="7"/>
        </w:numPr>
        <w:ind w:left="357" w:hanging="357"/>
      </w:pPr>
      <w:r>
        <w:t>Energy Content (Physical Allocation)</w:t>
      </w:r>
    </w:p>
    <w:p w14:paraId="6FD51C82" w14:textId="757A75F9" w:rsidR="00683086" w:rsidRDefault="00683086" w:rsidP="00A27BEE">
      <w:pPr>
        <w:pStyle w:val="ListParagraph"/>
        <w:keepNext/>
        <w:keepLines/>
        <w:numPr>
          <w:ilvl w:val="0"/>
          <w:numId w:val="7"/>
        </w:numPr>
        <w:ind w:left="357" w:hanging="357"/>
      </w:pPr>
      <w:r>
        <w:t>System expansion</w:t>
      </w:r>
    </w:p>
    <w:p w14:paraId="6CCD01E8" w14:textId="532AC5EA" w:rsidR="00B40F6C" w:rsidRDefault="00112BC2" w:rsidP="00A27BEE">
      <w:pPr>
        <w:pStyle w:val="ListParagraph"/>
        <w:keepLines/>
        <w:numPr>
          <w:ilvl w:val="0"/>
          <w:numId w:val="7"/>
        </w:numPr>
        <w:ind w:left="357" w:hanging="357"/>
      </w:pPr>
      <w:r>
        <w:t>Economic valuation</w:t>
      </w:r>
    </w:p>
    <w:p w14:paraId="730F28BC" w14:textId="1D405158" w:rsidR="00BC5814" w:rsidRPr="00B71705" w:rsidRDefault="00D277FD" w:rsidP="00A37738">
      <w:r>
        <w:t>An example</w:t>
      </w:r>
      <w:r w:rsidR="00582F01">
        <w:t xml:space="preserve"> to this </w:t>
      </w:r>
      <w:r w:rsidR="008013FD">
        <w:t>ordering is for oxygen as a co-product</w:t>
      </w:r>
      <w:r w:rsidR="00EA5B66">
        <w:t>,</w:t>
      </w:r>
      <w:r w:rsidR="008013FD">
        <w:t xml:space="preserve"> which must be allocated using system expansion or economic valuation as it does not have an energy content. </w:t>
      </w:r>
      <w:r w:rsidR="00B71705">
        <w:t xml:space="preserve">A concept referred to throughout this section is that of </w:t>
      </w:r>
      <w:r w:rsidR="00B71705">
        <w:rPr>
          <w:i/>
          <w:iCs/>
        </w:rPr>
        <w:t>shared processes</w:t>
      </w:r>
      <w:r w:rsidR="00B71705">
        <w:t xml:space="preserve"> which are modules within the </w:t>
      </w:r>
      <w:r w:rsidR="00080AC2">
        <w:t>production boundary</w:t>
      </w:r>
      <w:r w:rsidR="00B71705">
        <w:t xml:space="preserve"> that </w:t>
      </w:r>
      <w:r w:rsidR="008B43F3">
        <w:t xml:space="preserve">are used to produce the registered product and co-product. </w:t>
      </w:r>
    </w:p>
    <w:p w14:paraId="732B59C4" w14:textId="2888B93E" w:rsidR="00BC5814" w:rsidRPr="00F3462E" w:rsidRDefault="003075F9" w:rsidP="00F3462E">
      <w:pPr>
        <w:keepNext/>
        <w:spacing w:before="240" w:after="120"/>
        <w:rPr>
          <w:b/>
          <w:bCs/>
        </w:rPr>
      </w:pPr>
      <w:r w:rsidRPr="00F3462E">
        <w:rPr>
          <w:b/>
          <w:bCs/>
        </w:rPr>
        <w:t>Energy Content (Physical Allocation)</w:t>
      </w:r>
    </w:p>
    <w:p w14:paraId="0BD9F7C3" w14:textId="1BCC50D7" w:rsidR="00C25E03" w:rsidRDefault="002A3F88" w:rsidP="00A37738">
      <w:r>
        <w:t xml:space="preserve">The </w:t>
      </w:r>
      <w:r w:rsidR="009E46F0">
        <w:t xml:space="preserve">Energy Content (Physical Allocation) method </w:t>
      </w:r>
      <w:r w:rsidR="00794A5D">
        <w:t>uses the physical relationship between the product, co-product and emissions to determine the allocation</w:t>
      </w:r>
      <w:r w:rsidR="00CD5A2B">
        <w:t xml:space="preserve">. There are </w:t>
      </w:r>
      <w:r w:rsidR="008462B4">
        <w:t>several</w:t>
      </w:r>
      <w:r w:rsidR="00CD5A2B">
        <w:t xml:space="preserve"> physical relationships that could apply to apportioning emissions from hydrogen production to co-pr</w:t>
      </w:r>
      <w:r w:rsidR="00A80E23">
        <w:t>oducts</w:t>
      </w:r>
      <w:r w:rsidR="00097493">
        <w:t xml:space="preserve">, </w:t>
      </w:r>
      <w:r w:rsidR="00165859">
        <w:t>using the process property relationship,</w:t>
      </w:r>
      <w:r w:rsidR="00F30502">
        <w:t xml:space="preserve"> </w:t>
      </w:r>
      <w:r w:rsidR="00E92A99">
        <w:t>including</w:t>
      </w:r>
      <w:r w:rsidR="00165859">
        <w:t xml:space="preserve"> </w:t>
      </w:r>
      <w:r w:rsidR="008163B0">
        <w:t>energy</w:t>
      </w:r>
      <w:r w:rsidR="00165859">
        <w:t xml:space="preserve"> values and </w:t>
      </w:r>
      <w:r w:rsidR="008462B4">
        <w:t xml:space="preserve">other approaches such as </w:t>
      </w:r>
      <w:r w:rsidR="00165859">
        <w:t xml:space="preserve">mass or volumetric </w:t>
      </w:r>
      <w:r w:rsidR="00A57A92">
        <w:t>basis.</w:t>
      </w:r>
    </w:p>
    <w:p w14:paraId="6BE2A2DE" w14:textId="04229191" w:rsidR="003075F9" w:rsidRPr="00A57A92" w:rsidRDefault="00A57A92" w:rsidP="00177E85">
      <w:pPr>
        <w:spacing w:after="120"/>
        <w:rPr>
          <w:i/>
          <w:iCs/>
        </w:rPr>
      </w:pPr>
      <w:r w:rsidRPr="00A57A92">
        <w:rPr>
          <w:i/>
          <w:iCs/>
        </w:rPr>
        <w:t>Process property relationship</w:t>
      </w:r>
    </w:p>
    <w:p w14:paraId="33C92AB9" w14:textId="2E5A1A3F" w:rsidR="00A57A92" w:rsidRDefault="00A57A92" w:rsidP="00C43646">
      <w:pPr>
        <w:spacing w:after="0"/>
      </w:pPr>
      <w:r>
        <w:t xml:space="preserve">This method can be applied when the quantity of the co-products can be independently varied and reduced entirely. </w:t>
      </w:r>
      <w:r w:rsidR="5EA6CF85">
        <w:t xml:space="preserve">Processes with fixed product ratios such as electrolysis of water are ineligible for this method. </w:t>
      </w:r>
      <w:r w:rsidR="4FB3B982">
        <w:t>Then</w:t>
      </w:r>
      <w:r>
        <w:t xml:space="preserve"> the proportion </w:t>
      </w:r>
      <w:r w:rsidR="0099456F">
        <w:t xml:space="preserve">of emissions attributable to these co-products can be ascertained by deriving the ratio of emissions from the product facility if it weren’t producing the co-product compared to if it were </w:t>
      </w:r>
      <w:r w:rsidR="009E58BA">
        <w:t>producing the co-product.</w:t>
      </w:r>
    </w:p>
    <w:p w14:paraId="68D1C1B5" w14:textId="77777777" w:rsidR="00143DBA" w:rsidRDefault="00143DBA">
      <w:r>
        <w:rPr>
          <w:i/>
        </w:rPr>
        <w:br w:type="page"/>
      </w:r>
    </w:p>
    <w:tbl>
      <w:tblPr>
        <w:tblStyle w:val="CERCallout"/>
        <w:tblpPr w:leftFromText="180" w:rightFromText="180" w:vertAnchor="text" w:horzAnchor="margin" w:tblpY="232"/>
        <w:tblW w:w="5000" w:type="pct"/>
        <w:tblLook w:val="0480" w:firstRow="0" w:lastRow="0" w:firstColumn="1" w:lastColumn="0" w:noHBand="0" w:noVBand="1"/>
        <w:tblCaption w:val="test"/>
        <w:tblDescription w:val="tesst"/>
      </w:tblPr>
      <w:tblGrid>
        <w:gridCol w:w="8996"/>
      </w:tblGrid>
      <w:tr w:rsidR="00350BC2" w14:paraId="50BC2706" w14:textId="77777777" w:rsidTr="00A73B7A">
        <w:trPr>
          <w:cantSplit w:val="0"/>
        </w:trPr>
        <w:tc>
          <w:tcPr>
            <w:tcW w:w="5000" w:type="pct"/>
          </w:tcPr>
          <w:p w14:paraId="2D524F35" w14:textId="5480B5F8" w:rsidR="00350BC2" w:rsidRPr="00C209F1" w:rsidRDefault="00D12597" w:rsidP="00805A97">
            <w:pPr>
              <w:pStyle w:val="Heading4"/>
              <w:numPr>
                <w:ilvl w:val="0"/>
                <w:numId w:val="0"/>
              </w:numPr>
              <w:spacing w:before="0" w:beforeAutospacing="0" w:after="160"/>
              <w:rPr>
                <w:b/>
                <w:bCs/>
                <w:i w:val="0"/>
                <w:iCs/>
              </w:rPr>
            </w:pPr>
            <w:r>
              <w:rPr>
                <w:b/>
                <w:bCs/>
                <w:i w:val="0"/>
                <w:iCs/>
              </w:rPr>
              <w:t xml:space="preserve">Co-product </w:t>
            </w:r>
            <w:r w:rsidR="00F85645">
              <w:rPr>
                <w:b/>
                <w:bCs/>
                <w:i w:val="0"/>
                <w:iCs/>
              </w:rPr>
              <w:t>allocation based on p</w:t>
            </w:r>
            <w:r w:rsidR="00350BC2">
              <w:rPr>
                <w:b/>
                <w:bCs/>
                <w:i w:val="0"/>
                <w:iCs/>
              </w:rPr>
              <w:t>rocess property relationship in practice</w:t>
            </w:r>
          </w:p>
          <w:p w14:paraId="38094842" w14:textId="22EC0B4F" w:rsidR="00350BC2" w:rsidRDefault="00350BC2" w:rsidP="00805A97">
            <w:pPr>
              <w:spacing w:before="0" w:beforeAutospacing="0" w:after="160"/>
            </w:pPr>
            <w:r>
              <w:t xml:space="preserve">Facility A </w:t>
            </w:r>
            <w:r w:rsidR="00015C19">
              <w:t xml:space="preserve">estimates </w:t>
            </w:r>
            <w:r w:rsidR="00C93045">
              <w:t xml:space="preserve">the </w:t>
            </w:r>
            <w:r w:rsidR="005245AB">
              <w:t xml:space="preserve">total </w:t>
            </w:r>
            <w:r w:rsidR="00C93045">
              <w:t xml:space="preserve">emissions throughout its </w:t>
            </w:r>
            <w:r w:rsidR="00080AC2">
              <w:t>production boundary</w:t>
            </w:r>
            <w:r w:rsidR="00A73488">
              <w:t xml:space="preserve"> </w:t>
            </w:r>
            <w:r w:rsidR="008244E1">
              <w:t>to be 3 kg CO</w:t>
            </w:r>
            <w:r w:rsidR="008244E1" w:rsidRPr="00C82E3D">
              <w:rPr>
                <w:vertAlign w:val="subscript"/>
              </w:rPr>
              <w:t>2</w:t>
            </w:r>
            <w:r w:rsidR="008244E1">
              <w:t>-e</w:t>
            </w:r>
            <w:r w:rsidR="000A13FD">
              <w:t>/kg H</w:t>
            </w:r>
            <w:r w:rsidR="000A13FD" w:rsidRPr="000A13FD">
              <w:rPr>
                <w:vertAlign w:val="subscript"/>
              </w:rPr>
              <w:t>2</w:t>
            </w:r>
            <w:r w:rsidR="004C3236" w:rsidRPr="00620FDF">
              <w:t xml:space="preserve"> </w:t>
            </w:r>
            <w:r w:rsidR="00A70081">
              <w:t>when producing hydrogen</w:t>
            </w:r>
            <w:r w:rsidR="00A70081" w:rsidDel="006A7A0B">
              <w:t xml:space="preserve"> </w:t>
            </w:r>
            <w:r w:rsidR="006A7A0B">
              <w:t xml:space="preserve">with </w:t>
            </w:r>
            <w:r w:rsidR="00A70081">
              <w:t xml:space="preserve">co-products </w:t>
            </w:r>
            <w:r w:rsidR="00D96FBF">
              <w:t xml:space="preserve">and </w:t>
            </w:r>
            <w:r w:rsidR="001F0423">
              <w:t>2.4 kg CO</w:t>
            </w:r>
            <w:r w:rsidR="001F0423" w:rsidRPr="00C82E3D">
              <w:rPr>
                <w:vertAlign w:val="subscript"/>
              </w:rPr>
              <w:t>2</w:t>
            </w:r>
            <w:r w:rsidR="001F0423">
              <w:t>-e</w:t>
            </w:r>
            <w:r w:rsidR="00AA3137">
              <w:t>/kg H</w:t>
            </w:r>
            <w:r w:rsidR="00AA3137" w:rsidRPr="00AA3137">
              <w:rPr>
                <w:vertAlign w:val="subscript"/>
              </w:rPr>
              <w:t>2</w:t>
            </w:r>
            <w:r w:rsidR="001F0423" w:rsidDel="001F0423">
              <w:t xml:space="preserve"> </w:t>
            </w:r>
            <w:r w:rsidR="00D96FBF">
              <w:t xml:space="preserve">when producing hydrogen </w:t>
            </w:r>
            <w:r w:rsidR="00620FDF">
              <w:t>without</w:t>
            </w:r>
            <w:r w:rsidR="00D96FBF">
              <w:t xml:space="preserve"> co-products</w:t>
            </w:r>
            <w:r w:rsidR="00C82E3D">
              <w:t>.</w:t>
            </w:r>
          </w:p>
          <w:p w14:paraId="0F8E9FD6" w14:textId="0A77188D" w:rsidR="00743E9E" w:rsidRDefault="00743E9E" w:rsidP="00805A97">
            <w:pPr>
              <w:spacing w:before="0" w:beforeAutospacing="0" w:after="160"/>
            </w:pPr>
            <w:r>
              <w:t>The proposed process property calculation is:</w:t>
            </w:r>
          </w:p>
          <w:p w14:paraId="68FFBF04" w14:textId="4914522E" w:rsidR="00743E9E" w:rsidRPr="006C36E2" w:rsidRDefault="00785FEC" w:rsidP="00805A97">
            <w:pPr>
              <w:spacing w:before="0" w:beforeAutospacing="0" w:after="160"/>
              <w:rPr>
                <w:b/>
                <w:bCs/>
              </w:rPr>
            </w:pPr>
            <m:oMathPara>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cp</m:t>
                    </m:r>
                  </m:sub>
                </m:sSub>
                <m:r>
                  <m:rPr>
                    <m:sty m:val="bi"/>
                  </m:rPr>
                  <w:rPr>
                    <w:rFonts w:ascii="Cambria Math" w:hAnsi="Cambria Math"/>
                  </w:rPr>
                  <m:t>=1-</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total, nocp</m:t>
                        </m:r>
                      </m:sub>
                    </m:sSub>
                  </m:num>
                  <m:den>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total,withcp</m:t>
                        </m:r>
                      </m:sub>
                    </m:sSub>
                  </m:den>
                </m:f>
              </m:oMath>
            </m:oMathPara>
          </w:p>
          <w:p w14:paraId="63F8ED51" w14:textId="77777777" w:rsidR="00C94E01" w:rsidRDefault="00C94E01" w:rsidP="00805A97">
            <w:pPr>
              <w:spacing w:before="0" w:beforeAutospacing="0" w:after="160"/>
            </w:pPr>
            <w:r>
              <w:t>Where:</w:t>
            </w:r>
          </w:p>
          <w:p w14:paraId="59B65747" w14:textId="40DA02D3" w:rsidR="00C94E01" w:rsidRDefault="00785FEC" w:rsidP="00A7502A">
            <w:pPr>
              <w:spacing w:before="0" w:beforeAutospacing="0" w:after="160"/>
              <w:ind w:left="251"/>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total, nocp</m:t>
                  </m:r>
                </m:sub>
              </m:sSub>
            </m:oMath>
            <w:r w:rsidR="00C94E01">
              <w:t xml:space="preserve"> is the </w:t>
            </w:r>
            <w:r w:rsidR="00080AC2">
              <w:t>production boundary</w:t>
            </w:r>
            <w:r w:rsidR="00BC7894">
              <w:t xml:space="preserve"> </w:t>
            </w:r>
            <w:r w:rsidR="00C94E01">
              <w:t xml:space="preserve">emissions per unit of </w:t>
            </w:r>
            <w:r w:rsidR="004A56A2">
              <w:t>registered product</w:t>
            </w:r>
            <w:r w:rsidR="004A56A2" w:rsidDel="004A56A2">
              <w:t xml:space="preserve"> </w:t>
            </w:r>
            <w:r w:rsidR="00C94E01">
              <w:t xml:space="preserve">produced where </w:t>
            </w:r>
            <w:r w:rsidR="00BC7894">
              <w:t>no co-product</w:t>
            </w:r>
            <w:r w:rsidR="00C93004">
              <w:t xml:space="preserve"> </w:t>
            </w:r>
            <w:r w:rsidR="00995D0F">
              <w:t>is</w:t>
            </w:r>
            <w:r w:rsidR="00BC7894">
              <w:t xml:space="preserve"> produced</w:t>
            </w:r>
            <w:r w:rsidR="00F05E87">
              <w:t>, and</w:t>
            </w:r>
          </w:p>
          <w:p w14:paraId="684B0FAF" w14:textId="557C04C2" w:rsidR="00BC7894" w:rsidRDefault="00785FEC" w:rsidP="00A7502A">
            <w:pPr>
              <w:spacing w:before="0" w:beforeAutospacing="0" w:after="160"/>
              <w:ind w:left="251"/>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total,withcp</m:t>
                  </m:r>
                </m:sub>
              </m:sSub>
            </m:oMath>
            <w:r w:rsidR="00BC7894">
              <w:t xml:space="preserve">  is the </w:t>
            </w:r>
            <w:r w:rsidR="00080AC2">
              <w:t>production boundary</w:t>
            </w:r>
            <w:r w:rsidR="00BC7894">
              <w:t xml:space="preserve"> emissions per unit of </w:t>
            </w:r>
            <w:r w:rsidR="004A56A2">
              <w:t>registered product</w:t>
            </w:r>
            <w:r w:rsidR="004A56A2" w:rsidDel="004A56A2">
              <w:t xml:space="preserve"> </w:t>
            </w:r>
            <w:r w:rsidR="00BC7894">
              <w:t>produced where co-products are produced.</w:t>
            </w:r>
          </w:p>
          <w:p w14:paraId="243ED0B9" w14:textId="77777777" w:rsidR="00BC7894" w:rsidRDefault="002410B8" w:rsidP="00A7502A">
            <w:pPr>
              <w:spacing w:before="0" w:beforeAutospacing="0" w:after="160"/>
              <w:ind w:left="677" w:hanging="360"/>
            </w:pPr>
            <w:r>
              <w:t>Substituting the values from the above example into this equation produces the result:</w:t>
            </w:r>
          </w:p>
          <w:p w14:paraId="136D134C" w14:textId="06991CE5" w:rsidR="002410B8" w:rsidRPr="006C36E2" w:rsidRDefault="006C36E2" w:rsidP="00805A97">
            <w:pPr>
              <w:spacing w:before="0" w:beforeAutospacing="0" w:after="160"/>
              <w:rPr>
                <w:b/>
                <w:bCs/>
              </w:rPr>
            </w:pPr>
            <m:oMathPara>
              <m:oMath>
                <m:r>
                  <m:rPr>
                    <m:sty m:val="bi"/>
                  </m:rPr>
                  <w:rPr>
                    <w:rFonts w:ascii="Cambria Math" w:hAnsi="Cambria Math"/>
                  </w:rPr>
                  <m:t>0.2=1-</m:t>
                </m:r>
                <m:f>
                  <m:fPr>
                    <m:ctrlPr>
                      <w:rPr>
                        <w:rFonts w:ascii="Cambria Math" w:hAnsi="Cambria Math"/>
                        <w:b/>
                        <w:bCs/>
                        <w:i/>
                      </w:rPr>
                    </m:ctrlPr>
                  </m:fPr>
                  <m:num>
                    <m:r>
                      <m:rPr>
                        <m:sty m:val="bi"/>
                      </m:rPr>
                      <w:rPr>
                        <w:rFonts w:ascii="Cambria Math" w:hAnsi="Cambria Math"/>
                      </w:rPr>
                      <m:t>2.4</m:t>
                    </m:r>
                  </m:num>
                  <m:den>
                    <m:r>
                      <m:rPr>
                        <m:sty m:val="bi"/>
                      </m:rPr>
                      <w:rPr>
                        <w:rFonts w:ascii="Cambria Math" w:hAnsi="Cambria Math"/>
                      </w:rPr>
                      <m:t>3</m:t>
                    </m:r>
                  </m:den>
                </m:f>
              </m:oMath>
            </m:oMathPara>
          </w:p>
          <w:p w14:paraId="49B570FB" w14:textId="3C9A03AD" w:rsidR="002410B8" w:rsidRPr="00C94E01" w:rsidRDefault="00FF654F" w:rsidP="00A7502A">
            <w:pPr>
              <w:spacing w:before="0" w:beforeAutospacing="0" w:after="160"/>
              <w:ind w:left="251"/>
            </w:pPr>
            <w:r>
              <w:t xml:space="preserve">The modelled proportion of emissions within the </w:t>
            </w:r>
            <w:r w:rsidR="00080AC2">
              <w:t>production boundary</w:t>
            </w:r>
            <w:r>
              <w:t xml:space="preserve"> that </w:t>
            </w:r>
            <w:r w:rsidR="00D026B8">
              <w:t xml:space="preserve">is </w:t>
            </w:r>
            <w:r>
              <w:t xml:space="preserve">attributable to </w:t>
            </w:r>
            <w:r w:rsidR="00B06009">
              <w:t>co-products is 0.2.</w:t>
            </w:r>
          </w:p>
        </w:tc>
      </w:tr>
    </w:tbl>
    <w:p w14:paraId="4C9012F5" w14:textId="1AA8EB9B" w:rsidR="00350BC2" w:rsidRPr="00252F34" w:rsidRDefault="00252F34" w:rsidP="00A27BEE">
      <w:pPr>
        <w:keepNext/>
        <w:spacing w:before="200" w:after="120"/>
        <w:rPr>
          <w:i/>
          <w:iCs/>
        </w:rPr>
      </w:pPr>
      <w:r>
        <w:rPr>
          <w:i/>
          <w:iCs/>
        </w:rPr>
        <w:t>Energy value</w:t>
      </w:r>
    </w:p>
    <w:p w14:paraId="7ED49E95" w14:textId="72400B02" w:rsidR="00A57A92" w:rsidRDefault="00252F34" w:rsidP="00C43646">
      <w:pPr>
        <w:spacing w:after="0"/>
      </w:pPr>
      <w:r>
        <w:t>The energy value allocation can be applied in many instances where the co-product and registered product are both energy products. This metho</w:t>
      </w:r>
      <w:r w:rsidR="00F718B6">
        <w:t xml:space="preserve">d allows for the emissions associated with shared processes to be </w:t>
      </w:r>
      <w:r w:rsidR="00D67321">
        <w:t>allocated based on the ratio between the energy content of the co-product and registered product.</w:t>
      </w:r>
    </w:p>
    <w:tbl>
      <w:tblPr>
        <w:tblStyle w:val="CERCallout"/>
        <w:tblpPr w:leftFromText="180" w:rightFromText="180" w:vertAnchor="text" w:horzAnchor="margin" w:tblpY="232"/>
        <w:tblW w:w="5000" w:type="pct"/>
        <w:tblLook w:val="0480" w:firstRow="0" w:lastRow="0" w:firstColumn="1" w:lastColumn="0" w:noHBand="0" w:noVBand="1"/>
        <w:tblCaption w:val="test"/>
        <w:tblDescription w:val="tesst"/>
      </w:tblPr>
      <w:tblGrid>
        <w:gridCol w:w="8996"/>
      </w:tblGrid>
      <w:tr w:rsidR="008B43F3" w14:paraId="020A298C" w14:textId="77777777" w:rsidTr="00A73B7A">
        <w:trPr>
          <w:cantSplit w:val="0"/>
        </w:trPr>
        <w:tc>
          <w:tcPr>
            <w:tcW w:w="5000" w:type="pct"/>
          </w:tcPr>
          <w:p w14:paraId="33E34794" w14:textId="38911892" w:rsidR="008B43F3" w:rsidRPr="00C209F1" w:rsidRDefault="005F3E22" w:rsidP="00805A97">
            <w:pPr>
              <w:pStyle w:val="Heading4"/>
              <w:numPr>
                <w:ilvl w:val="0"/>
                <w:numId w:val="0"/>
              </w:numPr>
              <w:spacing w:before="0" w:beforeAutospacing="0" w:after="160"/>
              <w:rPr>
                <w:b/>
                <w:bCs/>
                <w:i w:val="0"/>
                <w:iCs/>
              </w:rPr>
            </w:pPr>
            <w:r>
              <w:rPr>
                <w:b/>
                <w:bCs/>
                <w:i w:val="0"/>
                <w:iCs/>
              </w:rPr>
              <w:t xml:space="preserve">Co-product allocation </w:t>
            </w:r>
            <w:r w:rsidR="00E40BED">
              <w:rPr>
                <w:b/>
                <w:bCs/>
                <w:i w:val="0"/>
                <w:iCs/>
              </w:rPr>
              <w:t>based on e</w:t>
            </w:r>
            <w:r w:rsidR="008B43F3">
              <w:rPr>
                <w:b/>
                <w:bCs/>
                <w:i w:val="0"/>
                <w:iCs/>
              </w:rPr>
              <w:t>nergy value in practice</w:t>
            </w:r>
          </w:p>
          <w:p w14:paraId="3B6C6AF3" w14:textId="2DADCC79" w:rsidR="00BA5C54" w:rsidRDefault="008B43F3" w:rsidP="00805A97">
            <w:pPr>
              <w:spacing w:before="0" w:beforeAutospacing="0" w:after="160"/>
            </w:pPr>
            <w:r>
              <w:t xml:space="preserve">Facility A </w:t>
            </w:r>
            <w:r w:rsidR="00945E9A">
              <w:t xml:space="preserve">produces </w:t>
            </w:r>
            <w:r w:rsidR="00EF1968">
              <w:t xml:space="preserve">on average </w:t>
            </w:r>
            <w:r w:rsidR="00BA5C54">
              <w:t>1.5</w:t>
            </w:r>
            <w:r w:rsidR="00D068B3">
              <w:t xml:space="preserve"> kg </w:t>
            </w:r>
            <w:r w:rsidR="007A5A8E">
              <w:t xml:space="preserve">of co-product </w:t>
            </w:r>
            <w:r w:rsidR="008406AA">
              <w:t xml:space="preserve">per kilogram of </w:t>
            </w:r>
            <w:r w:rsidR="00651259">
              <w:t>hydrogen</w:t>
            </w:r>
            <w:r w:rsidR="006820CE">
              <w:t xml:space="preserve">. The energy content of one kilogram of the co-product is </w:t>
            </w:r>
            <w:r w:rsidR="00A9773A">
              <w:t>7</w:t>
            </w:r>
            <w:r w:rsidR="00091C5F">
              <w:t>2</w:t>
            </w:r>
            <w:r w:rsidR="003D091C">
              <w:t xml:space="preserve"> megajoules</w:t>
            </w:r>
            <w:r w:rsidR="006820CE">
              <w:t xml:space="preserve">, while the energy content of one kilogram of hydrogen is </w:t>
            </w:r>
            <w:r w:rsidR="00315CC6">
              <w:t>120 megajoules</w:t>
            </w:r>
            <w:r w:rsidR="006820CE">
              <w:t xml:space="preserve">. </w:t>
            </w:r>
            <w:r w:rsidR="0015620A">
              <w:t>Facility A also models that the</w:t>
            </w:r>
            <w:r w:rsidR="006820CE">
              <w:t xml:space="preserve"> total emissions attributable to shared processes </w:t>
            </w:r>
            <w:r w:rsidR="00CF059A">
              <w:t xml:space="preserve">per kilogram of hydrogen produced is </w:t>
            </w:r>
            <w:r w:rsidR="000E2ECE">
              <w:t>1 kg CO</w:t>
            </w:r>
            <w:r w:rsidR="000E2ECE" w:rsidRPr="009F7FA5">
              <w:rPr>
                <w:vertAlign w:val="subscript"/>
              </w:rPr>
              <w:t>2</w:t>
            </w:r>
            <w:r w:rsidR="000E2ECE">
              <w:t xml:space="preserve">-e, </w:t>
            </w:r>
            <w:r w:rsidR="0015620A">
              <w:t xml:space="preserve">while the total emissions </w:t>
            </w:r>
            <w:r w:rsidR="00FF3DE9">
              <w:t>from</w:t>
            </w:r>
            <w:r w:rsidR="0015620A">
              <w:t xml:space="preserve"> the </w:t>
            </w:r>
            <w:r w:rsidR="00080AC2">
              <w:t>production boundary</w:t>
            </w:r>
            <w:r w:rsidR="0015620A">
              <w:t xml:space="preserve"> per kilogram of hydrogen produced is </w:t>
            </w:r>
            <w:r w:rsidR="00F35C60">
              <w:t>3.2 kg CO</w:t>
            </w:r>
            <w:r w:rsidR="00F35C60" w:rsidRPr="009F7FA5">
              <w:rPr>
                <w:vertAlign w:val="subscript"/>
              </w:rPr>
              <w:t>2</w:t>
            </w:r>
            <w:r w:rsidR="00F35C60">
              <w:t>-e</w:t>
            </w:r>
            <w:r w:rsidR="001C7032">
              <w:t>.</w:t>
            </w:r>
          </w:p>
          <w:p w14:paraId="28EE16B4" w14:textId="172391D7" w:rsidR="008B43F3" w:rsidRDefault="008B43F3" w:rsidP="00805A97">
            <w:pPr>
              <w:spacing w:before="0" w:beforeAutospacing="0" w:after="160"/>
            </w:pPr>
            <w:r>
              <w:t xml:space="preserve">The proposed </w:t>
            </w:r>
            <w:r w:rsidR="00F35C60">
              <w:t>energy value allocation</w:t>
            </w:r>
            <w:r>
              <w:t xml:space="preserve"> calculation is:</w:t>
            </w:r>
          </w:p>
          <w:p w14:paraId="50E9B13C" w14:textId="2ADD31EE" w:rsidR="008B43F3" w:rsidRPr="006C36E2" w:rsidRDefault="00785FEC" w:rsidP="00805A97">
            <w:pPr>
              <w:spacing w:before="0" w:beforeAutospacing="0" w:after="160"/>
              <w:rPr>
                <w:b/>
                <w:bCs/>
              </w:rPr>
            </w:pPr>
            <m:oMathPara>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cp</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r</m:t>
                    </m:r>
                  </m:sub>
                </m:sSub>
                <m:r>
                  <m:rPr>
                    <m:sty m:val="bi"/>
                  </m:rPr>
                  <w:rPr>
                    <w:rFonts w:ascii="Cambria Math" w:hAnsi="Cambria Math"/>
                  </w:rPr>
                  <m:t xml:space="preserve"> × </m:t>
                </m:r>
                <m:f>
                  <m:fPr>
                    <m:ctrlPr>
                      <w:rPr>
                        <w:rFonts w:ascii="Cambria Math" w:hAnsi="Cambria Math"/>
                        <w:b/>
                        <w:bCs/>
                        <w:i/>
                      </w:rPr>
                    </m:ctrlPr>
                  </m:fPr>
                  <m:num>
                    <m:r>
                      <m:rPr>
                        <m:sty m:val="bi"/>
                      </m:rPr>
                      <w:rPr>
                        <w:rFonts w:ascii="Cambria Math" w:hAnsi="Cambria Math"/>
                      </w:rPr>
                      <m:t>E</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cp</m:t>
                        </m:r>
                      </m:sub>
                    </m:sSub>
                  </m:num>
                  <m:den>
                    <m:r>
                      <m:rPr>
                        <m:sty m:val="bi"/>
                      </m:rPr>
                      <w:rPr>
                        <w:rFonts w:ascii="Cambria Math" w:hAnsi="Cambria Math"/>
                      </w:rPr>
                      <m:t>E</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rp</m:t>
                        </m:r>
                      </m:sub>
                    </m:sSub>
                  </m:den>
                </m:f>
                <m:r>
                  <m:rPr>
                    <m:sty m:val="bi"/>
                  </m:rPr>
                  <w:rPr>
                    <w:rFonts w:ascii="Cambria Math" w:hAnsi="Cambria Math"/>
                  </w:rPr>
                  <m:t xml:space="preserve"> ×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total, sp</m:t>
                        </m:r>
                      </m:sub>
                    </m:sSub>
                  </m:num>
                  <m:den>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total,ob</m:t>
                        </m:r>
                      </m:sub>
                    </m:sSub>
                  </m:den>
                </m:f>
              </m:oMath>
            </m:oMathPara>
          </w:p>
          <w:p w14:paraId="30412D54" w14:textId="77777777" w:rsidR="008B43F3" w:rsidRDefault="008B43F3" w:rsidP="00805A97">
            <w:pPr>
              <w:spacing w:before="0" w:beforeAutospacing="0" w:after="160"/>
            </w:pPr>
            <w:r>
              <w:t>Where:</w:t>
            </w:r>
          </w:p>
          <w:p w14:paraId="41ACEB3F" w14:textId="55EBCC18" w:rsidR="00EF1968" w:rsidRDefault="00785FEC" w:rsidP="004B0F45">
            <w:pPr>
              <w:spacing w:before="0" w:beforeAutospacing="0" w:after="160"/>
              <w:ind w:left="393"/>
            </w:pPr>
            <m:oMath>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r</m:t>
                  </m:r>
                </m:sub>
              </m:sSub>
            </m:oMath>
            <w:r w:rsidR="008B43F3">
              <w:t xml:space="preserve"> </w:t>
            </w:r>
            <w:r w:rsidR="00F35C60">
              <w:t>is the</w:t>
            </w:r>
            <w:r w:rsidR="00EF1968">
              <w:t xml:space="preserve"> average</w:t>
            </w:r>
            <w:r w:rsidR="00F35C60">
              <w:t xml:space="preserve"> </w:t>
            </w:r>
            <w:r w:rsidR="00EF1968">
              <w:t xml:space="preserve">quantity </w:t>
            </w:r>
            <w:r w:rsidR="00F35C60">
              <w:t xml:space="preserve">of </w:t>
            </w:r>
            <w:r w:rsidR="00EF1968">
              <w:t xml:space="preserve">the </w:t>
            </w:r>
            <w:r w:rsidR="00F35C60">
              <w:t>co-product</w:t>
            </w:r>
            <w:r w:rsidR="00EF1968">
              <w:t xml:space="preserve"> produced per kilogram of </w:t>
            </w:r>
            <w:r w:rsidR="009263DA">
              <w:t>registered</w:t>
            </w:r>
            <w:r w:rsidR="005A19B3">
              <w:t xml:space="preserve"> product</w:t>
            </w:r>
            <w:r w:rsidR="009263DA">
              <w:t xml:space="preserve"> </w:t>
            </w:r>
            <w:r w:rsidR="00EF1968">
              <w:t>produced,</w:t>
            </w:r>
          </w:p>
          <w:p w14:paraId="37F47D10" w14:textId="77777777" w:rsidR="00280FC7" w:rsidRDefault="006C36E2" w:rsidP="004B0F45">
            <w:pPr>
              <w:spacing w:before="0" w:beforeAutospacing="0" w:after="160"/>
              <w:ind w:left="393"/>
            </w:pPr>
            <m:oMath>
              <m:r>
                <m:rPr>
                  <m:sty m:val="bi"/>
                </m:rPr>
                <w:rPr>
                  <w:rFonts w:ascii="Cambria Math" w:hAnsi="Cambria Math"/>
                </w:rPr>
                <m:t>E</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cp</m:t>
                  </m:r>
                </m:sub>
              </m:sSub>
            </m:oMath>
            <w:r w:rsidR="00EF1968">
              <w:t xml:space="preserve"> </w:t>
            </w:r>
            <w:r w:rsidR="008B43F3">
              <w:t xml:space="preserve">is </w:t>
            </w:r>
            <w:r w:rsidR="00EF1968">
              <w:t xml:space="preserve">the </w:t>
            </w:r>
            <w:r w:rsidR="00C8133C">
              <w:t>energy content of a single functional unit of the co-product</w:t>
            </w:r>
            <w:r w:rsidR="00A00D8E">
              <w:t>,</w:t>
            </w:r>
          </w:p>
          <w:p w14:paraId="41E3BC07" w14:textId="77923D13" w:rsidR="00C8133C" w:rsidRDefault="00A00D8E" w:rsidP="004B0F45">
            <w:pPr>
              <w:spacing w:before="0" w:beforeAutospacing="0" w:after="160"/>
              <w:ind w:left="393"/>
            </w:pPr>
            <m:oMath>
              <m:r>
                <m:rPr>
                  <m:sty m:val="bi"/>
                </m:rPr>
                <w:rPr>
                  <w:rFonts w:ascii="Cambria Math" w:hAnsi="Cambria Math"/>
                </w:rPr>
                <m:t>E</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rp</m:t>
                  </m:r>
                </m:sub>
              </m:sSub>
            </m:oMath>
            <w:r w:rsidR="00C8133C">
              <w:t xml:space="preserve"> </w:t>
            </w:r>
            <w:r>
              <w:t xml:space="preserve">is the energy content of a single </w:t>
            </w:r>
            <w:r w:rsidR="00C8133C">
              <w:t xml:space="preserve">kilogram of </w:t>
            </w:r>
            <w:r w:rsidR="005A19B3">
              <w:t>registered product</w:t>
            </w:r>
            <w:r w:rsidR="00B23E66">
              <w:t>,</w:t>
            </w:r>
          </w:p>
          <w:p w14:paraId="429DE342" w14:textId="0849C6D5" w:rsidR="00BC4E3A" w:rsidRDefault="00785FEC" w:rsidP="004B0F45">
            <w:pPr>
              <w:spacing w:before="0" w:beforeAutospacing="0" w:after="160"/>
              <w:ind w:left="393"/>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total, sp</m:t>
                  </m:r>
                </m:sub>
              </m:sSub>
            </m:oMath>
            <w:r w:rsidR="00BC4E3A">
              <w:t xml:space="preserve"> is the total emissions that </w:t>
            </w:r>
            <w:r w:rsidR="00B66A11">
              <w:t xml:space="preserve">is </w:t>
            </w:r>
            <w:r w:rsidR="00304336">
              <w:t xml:space="preserve">incurred in </w:t>
            </w:r>
            <w:r w:rsidR="00BC4E3A">
              <w:t xml:space="preserve">shared processes within the </w:t>
            </w:r>
            <w:r w:rsidR="00080AC2">
              <w:t>production boundary</w:t>
            </w:r>
            <w:r w:rsidR="00091C5F">
              <w:t xml:space="preserve"> per kilogram of </w:t>
            </w:r>
            <w:r w:rsidR="00603CDE">
              <w:t>registered product</w:t>
            </w:r>
            <w:r w:rsidR="00E46276">
              <w:t>, and</w:t>
            </w:r>
          </w:p>
          <w:p w14:paraId="27DE21EB" w14:textId="7F68B9E2" w:rsidR="00BC4E3A" w:rsidRDefault="00785FEC" w:rsidP="004B0F45">
            <w:pPr>
              <w:spacing w:before="0" w:beforeAutospacing="0" w:after="160"/>
              <w:ind w:left="393"/>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total,ob</m:t>
                  </m:r>
                </m:sub>
              </m:sSub>
            </m:oMath>
            <w:r w:rsidR="00BC4E3A">
              <w:t xml:space="preserve"> is the total emissions that </w:t>
            </w:r>
            <w:r w:rsidR="00E46276">
              <w:t xml:space="preserve">is </w:t>
            </w:r>
            <w:r w:rsidR="00091C5F">
              <w:t xml:space="preserve">incurred throughout the </w:t>
            </w:r>
            <w:r w:rsidR="00080AC2">
              <w:t>production boundary</w:t>
            </w:r>
            <w:r w:rsidR="00091C5F">
              <w:t xml:space="preserve"> per kilogram of </w:t>
            </w:r>
            <w:r w:rsidR="00603CDE">
              <w:t>registered product</w:t>
            </w:r>
            <w:r w:rsidR="00091C5F">
              <w:t>.</w:t>
            </w:r>
          </w:p>
          <w:p w14:paraId="00FFA24F" w14:textId="77777777" w:rsidR="008B43F3" w:rsidRDefault="008B43F3" w:rsidP="004B0F45">
            <w:pPr>
              <w:spacing w:before="0" w:beforeAutospacing="0" w:after="160"/>
              <w:ind w:left="393" w:firstLine="22"/>
            </w:pPr>
            <w:r>
              <w:t>Substituting the values from the above example into this equation produces the result:</w:t>
            </w:r>
          </w:p>
          <w:p w14:paraId="67AC55C2" w14:textId="0ABC2FED" w:rsidR="006C2B9B" w:rsidRPr="006C36E2" w:rsidRDefault="00007EC8" w:rsidP="00805A97">
            <w:pPr>
              <w:spacing w:before="0" w:beforeAutospacing="0" w:after="160"/>
              <w:rPr>
                <w:b/>
                <w:bCs/>
              </w:rPr>
            </w:pPr>
            <m:oMathPara>
              <m:oMath>
                <m:r>
                  <m:rPr>
                    <m:sty m:val="bi"/>
                  </m:rPr>
                  <w:rPr>
                    <w:rFonts w:ascii="Cambria Math" w:hAnsi="Cambria Math"/>
                  </w:rPr>
                  <m:t xml:space="preserve">0.28=1.5 × </m:t>
                </m:r>
                <m:f>
                  <m:fPr>
                    <m:ctrlPr>
                      <w:rPr>
                        <w:rFonts w:ascii="Cambria Math" w:hAnsi="Cambria Math"/>
                        <w:b/>
                        <w:bCs/>
                        <w:i/>
                      </w:rPr>
                    </m:ctrlPr>
                  </m:fPr>
                  <m:num>
                    <m:r>
                      <m:rPr>
                        <m:sty m:val="bi"/>
                      </m:rPr>
                      <w:rPr>
                        <w:rFonts w:ascii="Cambria Math" w:hAnsi="Cambria Math"/>
                      </w:rPr>
                      <m:t>72</m:t>
                    </m:r>
                  </m:num>
                  <m:den>
                    <m:r>
                      <m:rPr>
                        <m:sty m:val="bi"/>
                      </m:rPr>
                      <w:rPr>
                        <w:rFonts w:ascii="Cambria Math" w:hAnsi="Cambria Math"/>
                      </w:rPr>
                      <m:t>120</m:t>
                    </m:r>
                  </m:den>
                </m:f>
                <m:r>
                  <m:rPr>
                    <m:sty m:val="bi"/>
                  </m:rPr>
                  <w:rPr>
                    <w:rFonts w:ascii="Cambria Math" w:hAnsi="Cambria Math"/>
                  </w:rPr>
                  <m:t xml:space="preserve"> × </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3.2</m:t>
                    </m:r>
                  </m:den>
                </m:f>
              </m:oMath>
            </m:oMathPara>
          </w:p>
          <w:p w14:paraId="78B2E50D" w14:textId="58B28A47" w:rsidR="008B43F3" w:rsidRPr="00C94E01" w:rsidRDefault="00B11E6A" w:rsidP="004B0F45">
            <w:pPr>
              <w:spacing w:before="0" w:beforeAutospacing="0" w:after="160"/>
              <w:ind w:left="393"/>
            </w:pPr>
            <w:r>
              <w:t xml:space="preserve">Under the energy value allocation approach, Facility A would be able to </w:t>
            </w:r>
            <w:r w:rsidR="00B468D1">
              <w:t xml:space="preserve">use a modelled allocation value of </w:t>
            </w:r>
            <w:r>
              <w:t>0.28</w:t>
            </w:r>
            <w:r w:rsidR="00B468D1">
              <w:t>.</w:t>
            </w:r>
          </w:p>
        </w:tc>
      </w:tr>
    </w:tbl>
    <w:p w14:paraId="4DB508A4" w14:textId="2C9A56B4" w:rsidR="00B468D1" w:rsidRPr="00252F34" w:rsidRDefault="008462B4" w:rsidP="00177E85">
      <w:pPr>
        <w:spacing w:before="240" w:after="120"/>
        <w:rPr>
          <w:i/>
          <w:iCs/>
        </w:rPr>
      </w:pPr>
      <w:r>
        <w:rPr>
          <w:i/>
          <w:iCs/>
        </w:rPr>
        <w:t>Other approaches</w:t>
      </w:r>
    </w:p>
    <w:p w14:paraId="515C0F66" w14:textId="0BFAF87A" w:rsidR="006D3DE6" w:rsidRDefault="00990720" w:rsidP="00016671">
      <w:r>
        <w:t xml:space="preserve">Other approaches to physical allocation </w:t>
      </w:r>
      <w:r w:rsidR="000C547D">
        <w:t>such as on a mass, volumetri</w:t>
      </w:r>
      <w:r w:rsidR="0087419F">
        <w:t xml:space="preserve">c, </w:t>
      </w:r>
      <w:r w:rsidR="000C547D">
        <w:t>molar</w:t>
      </w:r>
      <w:r w:rsidR="001C7C9C">
        <w:t xml:space="preserve"> or enthalpy </w:t>
      </w:r>
      <w:r w:rsidR="000C547D">
        <w:t xml:space="preserve">basis </w:t>
      </w:r>
      <w:r w:rsidR="00016671">
        <w:t xml:space="preserve">may be able to be applied in the future as </w:t>
      </w:r>
      <w:r w:rsidR="003B303B">
        <w:t xml:space="preserve">new products are able to be certified under the GO scheme. </w:t>
      </w:r>
      <w:r w:rsidR="00326A23">
        <w:t xml:space="preserve">However, </w:t>
      </w:r>
      <w:r w:rsidR="00016671">
        <w:t xml:space="preserve">these other approaches are </w:t>
      </w:r>
      <w:r w:rsidR="00326A23">
        <w:t xml:space="preserve">not proposed to be included at scheme commencement as the only product initially covered under the GO scheme will be hydrogen. Allocation </w:t>
      </w:r>
      <w:r w:rsidR="006D3DE6">
        <w:t xml:space="preserve">using these approaches </w:t>
      </w:r>
      <w:r w:rsidR="00326A23">
        <w:t xml:space="preserve">for hydrogen is problematic as it has a high energy to mass ratio compared to the potential co-products. </w:t>
      </w:r>
      <w:r w:rsidR="006D3DE6">
        <w:t xml:space="preserve">This position is consistent with the allocation approaches </w:t>
      </w:r>
      <w:r w:rsidR="00C94C28">
        <w:t>utilised</w:t>
      </w:r>
      <w:r w:rsidR="006D3DE6">
        <w:t xml:space="preserve"> in the IPHE methodology</w:t>
      </w:r>
      <w:r w:rsidR="00C94C28">
        <w:t>.</w:t>
      </w:r>
      <w:r w:rsidR="006D3DE6">
        <w:t xml:space="preserve"> </w:t>
      </w:r>
    </w:p>
    <w:p w14:paraId="18B3275E" w14:textId="37AFBBE4" w:rsidR="003075F9" w:rsidRPr="00F3462E" w:rsidRDefault="003075F9" w:rsidP="00F3462E">
      <w:pPr>
        <w:keepNext/>
        <w:spacing w:before="240" w:after="120"/>
        <w:rPr>
          <w:b/>
          <w:bCs/>
        </w:rPr>
      </w:pPr>
      <w:r w:rsidRPr="00F3462E">
        <w:rPr>
          <w:b/>
          <w:bCs/>
        </w:rPr>
        <w:t>System Expansion</w:t>
      </w:r>
    </w:p>
    <w:p w14:paraId="6C50E947" w14:textId="7F58C3CA" w:rsidR="009F4A96" w:rsidRDefault="00FE1720" w:rsidP="00A37738">
      <w:r>
        <w:t xml:space="preserve">The system expansion method </w:t>
      </w:r>
      <w:r w:rsidR="00603726">
        <w:t xml:space="preserve">is based on </w:t>
      </w:r>
      <w:r w:rsidR="00833480">
        <w:t xml:space="preserve">the </w:t>
      </w:r>
      <w:r w:rsidR="00833480" w:rsidRPr="00833480">
        <w:rPr>
          <w:i/>
          <w:iCs/>
        </w:rPr>
        <w:t>System Expansion with Displacement</w:t>
      </w:r>
      <w:r w:rsidR="00833480">
        <w:rPr>
          <w:i/>
          <w:iCs/>
        </w:rPr>
        <w:t xml:space="preserve"> </w:t>
      </w:r>
      <w:r w:rsidR="00833480">
        <w:t xml:space="preserve">approach discussed in the IPHE methodology. System expansion can be applied where the prior </w:t>
      </w:r>
      <w:r w:rsidR="0024108D">
        <w:t>method is unavailable and where an alternative system produc</w:t>
      </w:r>
      <w:r w:rsidR="005303DF">
        <w:t>ing</w:t>
      </w:r>
      <w:r w:rsidR="0024108D">
        <w:t xml:space="preserve"> just the co-product can be identified.</w:t>
      </w:r>
      <w:r w:rsidR="00132988">
        <w:t xml:space="preserve"> The </w:t>
      </w:r>
      <w:r w:rsidR="00AB7FAE">
        <w:t xml:space="preserve">approach allows for emissions associated with this </w:t>
      </w:r>
      <w:r w:rsidR="00132988">
        <w:t xml:space="preserve">alternative system </w:t>
      </w:r>
      <w:r w:rsidR="00DB3279">
        <w:t xml:space="preserve">to be </w:t>
      </w:r>
      <w:r w:rsidR="00AA3BF3">
        <w:t xml:space="preserve">subtracted from the </w:t>
      </w:r>
      <w:r w:rsidR="00080AC2">
        <w:t>production boundary</w:t>
      </w:r>
      <w:r w:rsidR="00AA3BF3">
        <w:t xml:space="preserve"> emissions. </w:t>
      </w:r>
    </w:p>
    <w:p w14:paraId="53ADDB30" w14:textId="155D0109" w:rsidR="00AA3BF3" w:rsidRDefault="00AA3BF3" w:rsidP="00C43646">
      <w:pPr>
        <w:spacing w:after="0"/>
      </w:pPr>
      <w:r>
        <w:t xml:space="preserve">The approach to estimating the emissions allocatable under this method is to divide the </w:t>
      </w:r>
      <w:r w:rsidR="00993CF8">
        <w:t xml:space="preserve">modelled total </w:t>
      </w:r>
      <w:r w:rsidR="00834D45">
        <w:t xml:space="preserve">emissions associated with the </w:t>
      </w:r>
      <w:r w:rsidR="00993CF8">
        <w:t xml:space="preserve">alternative system by the emissions </w:t>
      </w:r>
      <w:r w:rsidR="002A7930">
        <w:t xml:space="preserve">associated with the </w:t>
      </w:r>
      <w:r w:rsidR="00080AC2">
        <w:t>production boundary</w:t>
      </w:r>
      <w:r w:rsidR="002A7930">
        <w:t xml:space="preserve">. </w:t>
      </w:r>
      <w:r w:rsidR="007A7C30">
        <w:t>Th</w:t>
      </w:r>
      <w:r w:rsidR="00955DB6">
        <w:t>ese</w:t>
      </w:r>
      <w:r w:rsidR="007A7C30">
        <w:t xml:space="preserve"> modelled </w:t>
      </w:r>
      <w:r w:rsidR="00955DB6">
        <w:t xml:space="preserve">values must reflect the average emissions per </w:t>
      </w:r>
      <w:r w:rsidR="00540D53">
        <w:t xml:space="preserve">functional unit of the co-product </w:t>
      </w:r>
      <w:r w:rsidR="00C03E4C">
        <w:t>produced.</w:t>
      </w:r>
      <w:r w:rsidR="000B3D45">
        <w:t xml:space="preserve"> </w:t>
      </w:r>
    </w:p>
    <w:tbl>
      <w:tblPr>
        <w:tblStyle w:val="CERCallout"/>
        <w:tblpPr w:leftFromText="180" w:rightFromText="180" w:vertAnchor="text" w:horzAnchor="margin" w:tblpY="232"/>
        <w:tblW w:w="5000" w:type="pct"/>
        <w:tblLook w:val="0480" w:firstRow="0" w:lastRow="0" w:firstColumn="1" w:lastColumn="0" w:noHBand="0" w:noVBand="1"/>
        <w:tblCaption w:val="test"/>
        <w:tblDescription w:val="tesst"/>
      </w:tblPr>
      <w:tblGrid>
        <w:gridCol w:w="8996"/>
      </w:tblGrid>
      <w:tr w:rsidR="00490BEE" w14:paraId="49E66B2E" w14:textId="77777777" w:rsidTr="002044AF">
        <w:trPr>
          <w:cantSplit w:val="0"/>
        </w:trPr>
        <w:tc>
          <w:tcPr>
            <w:tcW w:w="5000" w:type="pct"/>
          </w:tcPr>
          <w:p w14:paraId="046ACD4B" w14:textId="64E3B2C4" w:rsidR="00490BEE" w:rsidRPr="00C209F1" w:rsidRDefault="0086396A" w:rsidP="00805A97">
            <w:pPr>
              <w:pStyle w:val="Heading4"/>
              <w:numPr>
                <w:ilvl w:val="0"/>
                <w:numId w:val="0"/>
              </w:numPr>
              <w:spacing w:before="0" w:beforeAutospacing="0" w:after="160"/>
              <w:rPr>
                <w:b/>
                <w:bCs/>
                <w:i w:val="0"/>
                <w:iCs/>
              </w:rPr>
            </w:pPr>
            <w:r>
              <w:rPr>
                <w:b/>
                <w:bCs/>
                <w:i w:val="0"/>
                <w:iCs/>
              </w:rPr>
              <w:t>Co-product allocation based on s</w:t>
            </w:r>
            <w:r w:rsidR="00490BEE">
              <w:rPr>
                <w:b/>
                <w:bCs/>
                <w:i w:val="0"/>
                <w:iCs/>
              </w:rPr>
              <w:t>ystem expansion in practice</w:t>
            </w:r>
          </w:p>
          <w:p w14:paraId="10527377" w14:textId="35766FB7" w:rsidR="00490BEE" w:rsidRDefault="00490BEE" w:rsidP="00805A97">
            <w:pPr>
              <w:spacing w:before="0" w:beforeAutospacing="0" w:after="160"/>
            </w:pPr>
            <w:r>
              <w:t xml:space="preserve">Facility A </w:t>
            </w:r>
            <w:r w:rsidR="00A60560">
              <w:t xml:space="preserve">models the emissions incurred to produce a single unit of a co-product as </w:t>
            </w:r>
            <w:r w:rsidR="00FC22C2">
              <w:t>4</w:t>
            </w:r>
            <w:r w:rsidR="00BD396A">
              <w:t>.</w:t>
            </w:r>
            <w:r w:rsidR="00FC22C2">
              <w:t>1</w:t>
            </w:r>
            <w:r w:rsidR="00BD396A">
              <w:t xml:space="preserve"> kg CO</w:t>
            </w:r>
            <w:r w:rsidR="00BD396A">
              <w:rPr>
                <w:vertAlign w:val="subscript"/>
              </w:rPr>
              <w:t>2</w:t>
            </w:r>
            <w:r w:rsidR="00BD396A">
              <w:t>-e</w:t>
            </w:r>
            <w:r w:rsidR="00BA2D7F">
              <w:t xml:space="preserve">. An alternative system for producing a single unit of the same co-product is </w:t>
            </w:r>
            <w:r w:rsidR="00FC22C2">
              <w:t>1.1 kg CO</w:t>
            </w:r>
            <w:r w:rsidR="00FC22C2">
              <w:rPr>
                <w:vertAlign w:val="subscript"/>
              </w:rPr>
              <w:t>2</w:t>
            </w:r>
            <w:r w:rsidR="00FC22C2">
              <w:t>-e.</w:t>
            </w:r>
          </w:p>
          <w:p w14:paraId="46245F11" w14:textId="112B5113" w:rsidR="00490BEE" w:rsidRDefault="00490BEE" w:rsidP="00805A97">
            <w:pPr>
              <w:spacing w:before="0" w:beforeAutospacing="0" w:after="160"/>
            </w:pPr>
            <w:r>
              <w:t xml:space="preserve">The proposed </w:t>
            </w:r>
            <w:r w:rsidR="00DB1CDF">
              <w:t xml:space="preserve">system expansion allocation </w:t>
            </w:r>
            <w:r>
              <w:t>calculation is:</w:t>
            </w:r>
          </w:p>
          <w:p w14:paraId="7C5FE9E9" w14:textId="4979C745" w:rsidR="00490BEE" w:rsidRPr="006C36E2" w:rsidRDefault="00785FEC" w:rsidP="00805A97">
            <w:pPr>
              <w:spacing w:before="0" w:beforeAutospacing="0" w:after="160"/>
              <w:rPr>
                <w:b/>
                <w:bCs/>
              </w:rPr>
            </w:pPr>
            <m:oMathPara>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cp</m:t>
                    </m:r>
                  </m:sub>
                </m:sSub>
                <m:r>
                  <m:rPr>
                    <m:sty m:val="bi"/>
                  </m:rPr>
                  <w:rPr>
                    <w:rFonts w:ascii="Cambria Math" w:hAnsi="Cambria Math"/>
                  </w:rPr>
                  <m: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total, as</m:t>
                        </m:r>
                      </m:sub>
                    </m:sSub>
                  </m:num>
                  <m:den>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total,ob</m:t>
                        </m:r>
                      </m:sub>
                    </m:sSub>
                  </m:den>
                </m:f>
              </m:oMath>
            </m:oMathPara>
          </w:p>
          <w:p w14:paraId="069D8E94" w14:textId="77777777" w:rsidR="00490BEE" w:rsidRDefault="00490BEE" w:rsidP="00805A97">
            <w:pPr>
              <w:spacing w:before="0" w:beforeAutospacing="0" w:after="160"/>
            </w:pPr>
            <w:r>
              <w:t>Where:</w:t>
            </w:r>
          </w:p>
          <w:p w14:paraId="6FF9132C" w14:textId="3742F330" w:rsidR="00490BEE" w:rsidRDefault="00785FEC" w:rsidP="004B0F45">
            <w:pPr>
              <w:spacing w:before="0" w:beforeAutospacing="0" w:after="160"/>
              <w:ind w:left="251"/>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total, as</m:t>
                  </m:r>
                </m:sub>
              </m:sSub>
            </m:oMath>
            <w:r w:rsidR="00490BEE">
              <w:t xml:space="preserve"> is the total emissions that </w:t>
            </w:r>
            <w:r w:rsidR="000D3BCF">
              <w:t xml:space="preserve">is </w:t>
            </w:r>
            <w:r w:rsidR="00490BEE">
              <w:t xml:space="preserve">incurred in </w:t>
            </w:r>
            <w:r w:rsidR="008F1E7D">
              <w:t>the alternative system to produce a single unit of the co-product</w:t>
            </w:r>
            <w:r w:rsidR="00490BEE">
              <w:t xml:space="preserve">. </w:t>
            </w:r>
            <w:r w:rsidR="008F1E7D">
              <w:t xml:space="preserve">Guidance on alternative systems </w:t>
            </w:r>
            <w:r w:rsidR="007A3D48">
              <w:t xml:space="preserve">is outlined by the IPHE as the </w:t>
            </w:r>
            <w:r w:rsidR="00015443">
              <w:t>‘best practice’ production method of that product</w:t>
            </w:r>
            <w:r w:rsidR="005714B5">
              <w:t>, and</w:t>
            </w:r>
          </w:p>
          <w:p w14:paraId="416160FE" w14:textId="64F601FC" w:rsidR="00490BEE" w:rsidRDefault="00785FEC" w:rsidP="004B0F45">
            <w:pPr>
              <w:spacing w:before="0" w:beforeAutospacing="0" w:after="160"/>
              <w:ind w:left="251"/>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total,ob</m:t>
                  </m:r>
                </m:sub>
              </m:sSub>
            </m:oMath>
            <w:r w:rsidR="00490BEE">
              <w:t xml:space="preserve"> is the total emissions that </w:t>
            </w:r>
            <w:r w:rsidR="000D3BCF">
              <w:t xml:space="preserve">is </w:t>
            </w:r>
            <w:r w:rsidR="00491DAA">
              <w:t>inc</w:t>
            </w:r>
            <w:r w:rsidR="009A0CF0">
              <w:t xml:space="preserve">urred </w:t>
            </w:r>
            <w:r w:rsidR="00490BEE">
              <w:t xml:space="preserve">throughout the </w:t>
            </w:r>
            <w:r w:rsidR="00080AC2">
              <w:t>production boundary</w:t>
            </w:r>
            <w:r w:rsidR="00490BEE">
              <w:t xml:space="preserve"> </w:t>
            </w:r>
            <w:r w:rsidR="008F1E7D">
              <w:t>per unit of the co-product</w:t>
            </w:r>
            <w:r w:rsidR="00490BEE">
              <w:t>.</w:t>
            </w:r>
          </w:p>
          <w:p w14:paraId="4FD2BA3A" w14:textId="77777777" w:rsidR="00490BEE" w:rsidRDefault="00490BEE" w:rsidP="004B0F45">
            <w:pPr>
              <w:spacing w:before="0" w:beforeAutospacing="0" w:after="160"/>
              <w:ind w:left="677" w:hanging="360"/>
            </w:pPr>
            <w:r>
              <w:t>Substituting the values from the above example into this equation produces the result:</w:t>
            </w:r>
          </w:p>
          <w:p w14:paraId="623F279F" w14:textId="5B42A012" w:rsidR="00490BEE" w:rsidRPr="006C36E2" w:rsidRDefault="006C36E2" w:rsidP="00805A97">
            <w:pPr>
              <w:spacing w:before="0" w:beforeAutospacing="0" w:after="160"/>
              <w:rPr>
                <w:b/>
                <w:bCs/>
              </w:rPr>
            </w:pPr>
            <m:oMathPara>
              <m:oMath>
                <m:r>
                  <m:rPr>
                    <m:sty m:val="bi"/>
                  </m:rPr>
                  <w:rPr>
                    <w:rFonts w:ascii="Cambria Math" w:hAnsi="Cambria Math"/>
                  </w:rPr>
                  <m:t>0.27=</m:t>
                </m:r>
                <m:f>
                  <m:fPr>
                    <m:ctrlPr>
                      <w:rPr>
                        <w:rFonts w:ascii="Cambria Math" w:hAnsi="Cambria Math"/>
                        <w:b/>
                        <w:bCs/>
                        <w:i/>
                      </w:rPr>
                    </m:ctrlPr>
                  </m:fPr>
                  <m:num>
                    <m:r>
                      <m:rPr>
                        <m:sty m:val="bi"/>
                      </m:rPr>
                      <w:rPr>
                        <w:rFonts w:ascii="Cambria Math" w:hAnsi="Cambria Math"/>
                      </w:rPr>
                      <m:t>1.1</m:t>
                    </m:r>
                  </m:num>
                  <m:den>
                    <m:r>
                      <m:rPr>
                        <m:sty m:val="bi"/>
                      </m:rPr>
                      <w:rPr>
                        <w:rFonts w:ascii="Cambria Math" w:hAnsi="Cambria Math"/>
                      </w:rPr>
                      <m:t>4.1</m:t>
                    </m:r>
                  </m:den>
                </m:f>
              </m:oMath>
            </m:oMathPara>
          </w:p>
          <w:p w14:paraId="2BDFF5D3" w14:textId="73C16FBC" w:rsidR="00490BEE" w:rsidRPr="00C94E01" w:rsidRDefault="00490BEE" w:rsidP="004B0F45">
            <w:pPr>
              <w:spacing w:before="0" w:beforeAutospacing="0" w:after="160"/>
              <w:ind w:left="251"/>
            </w:pPr>
            <w:r>
              <w:t xml:space="preserve">Under the </w:t>
            </w:r>
            <w:r w:rsidR="00FE1C88">
              <w:t>system expansion</w:t>
            </w:r>
            <w:r>
              <w:t xml:space="preserve"> allocation approach, Facility A would be able to use a modelled allocation value of 0.2</w:t>
            </w:r>
            <w:r w:rsidR="00FE1C88">
              <w:t>7</w:t>
            </w:r>
            <w:r>
              <w:t>.</w:t>
            </w:r>
          </w:p>
        </w:tc>
      </w:tr>
    </w:tbl>
    <w:p w14:paraId="31ED8FFC" w14:textId="14310CE7" w:rsidR="003075F9" w:rsidRPr="00F3462E" w:rsidRDefault="003075F9" w:rsidP="00F3462E">
      <w:pPr>
        <w:keepNext/>
        <w:spacing w:before="240" w:after="120"/>
        <w:rPr>
          <w:b/>
          <w:bCs/>
        </w:rPr>
      </w:pPr>
      <w:r w:rsidRPr="00F3462E">
        <w:rPr>
          <w:b/>
          <w:bCs/>
        </w:rPr>
        <w:t>Economic valuation</w:t>
      </w:r>
    </w:p>
    <w:p w14:paraId="78A054C5" w14:textId="2FC4B4F0" w:rsidR="00475AAD" w:rsidRDefault="001E40D5" w:rsidP="00A37738">
      <w:r>
        <w:t xml:space="preserve">Economic valuation is the final proposed </w:t>
      </w:r>
      <w:r w:rsidR="00B160D0">
        <w:t>method for allocating co-product emissions</w:t>
      </w:r>
      <w:r w:rsidR="001A1043">
        <w:t xml:space="preserve"> </w:t>
      </w:r>
      <w:r w:rsidR="00E94E2F">
        <w:t>in the GO scheme</w:t>
      </w:r>
      <w:r>
        <w:t xml:space="preserve">. This method </w:t>
      </w:r>
      <w:r w:rsidR="006409C7">
        <w:t xml:space="preserve">allows for </w:t>
      </w:r>
      <w:r w:rsidR="00802B7E">
        <w:t>proportion</w:t>
      </w:r>
      <w:r w:rsidR="002324A3">
        <w:t xml:space="preserve"> to be allocated based on the </w:t>
      </w:r>
      <w:r w:rsidR="006409C7">
        <w:t xml:space="preserve">relative </w:t>
      </w:r>
      <w:r w:rsidR="002324A3">
        <w:t xml:space="preserve">economic value of </w:t>
      </w:r>
      <w:r w:rsidR="006409C7">
        <w:t xml:space="preserve">co-products </w:t>
      </w:r>
      <w:r w:rsidR="002324A3">
        <w:t xml:space="preserve">relative to </w:t>
      </w:r>
      <w:r w:rsidR="006409C7">
        <w:t>registered products</w:t>
      </w:r>
      <w:r w:rsidR="002324A3">
        <w:t xml:space="preserve">. </w:t>
      </w:r>
      <w:r w:rsidR="00475AAD">
        <w:t xml:space="preserve">This approach can help ascertain the intention of operating the product facility </w:t>
      </w:r>
      <w:r w:rsidR="00DA3A30">
        <w:t>and can help reflect differences between regions and markets for similar products.</w:t>
      </w:r>
    </w:p>
    <w:p w14:paraId="41508DE6" w14:textId="224FDE4F" w:rsidR="006C36E2" w:rsidRDefault="002324A3" w:rsidP="00694102">
      <w:pPr>
        <w:spacing w:after="0"/>
      </w:pPr>
      <w:r>
        <w:t xml:space="preserve">The method can be applied where </w:t>
      </w:r>
      <w:r w:rsidR="0055121C">
        <w:t xml:space="preserve">the other methods are not available, </w:t>
      </w:r>
      <w:r w:rsidR="003E25C2">
        <w:t xml:space="preserve">and where there are market prices for all co-products </w:t>
      </w:r>
      <w:r w:rsidR="00107E6D">
        <w:t>at the production point</w:t>
      </w:r>
      <w:r w:rsidR="00826854">
        <w:t xml:space="preserve">, or a reasonable price is defined if not </w:t>
      </w:r>
      <w:r w:rsidR="00360E5C">
        <w:t>a commodity traded product</w:t>
      </w:r>
      <w:r w:rsidR="00107E6D">
        <w:t xml:space="preserve">. </w:t>
      </w:r>
      <w:r w:rsidR="006C4918">
        <w:t>However, economic valuation is the least preferred method because it generally does not reflect the physical causalities of producing or purchasing a specific product.</w:t>
      </w:r>
    </w:p>
    <w:tbl>
      <w:tblPr>
        <w:tblStyle w:val="CERCallout"/>
        <w:tblpPr w:leftFromText="180" w:rightFromText="180" w:vertAnchor="text" w:horzAnchor="margin" w:tblpY="232"/>
        <w:tblW w:w="5000" w:type="pct"/>
        <w:tblLook w:val="0480" w:firstRow="0" w:lastRow="0" w:firstColumn="1" w:lastColumn="0" w:noHBand="0" w:noVBand="1"/>
        <w:tblCaption w:val="test"/>
        <w:tblDescription w:val="tesst"/>
      </w:tblPr>
      <w:tblGrid>
        <w:gridCol w:w="8996"/>
      </w:tblGrid>
      <w:tr w:rsidR="0008354D" w14:paraId="29DD126F" w14:textId="77777777">
        <w:tc>
          <w:tcPr>
            <w:tcW w:w="5000" w:type="pct"/>
          </w:tcPr>
          <w:p w14:paraId="105F8A6F" w14:textId="2C8446B8" w:rsidR="0008354D" w:rsidRPr="00C209F1" w:rsidRDefault="00323449" w:rsidP="00805A97">
            <w:pPr>
              <w:pStyle w:val="Heading4"/>
              <w:numPr>
                <w:ilvl w:val="0"/>
                <w:numId w:val="0"/>
              </w:numPr>
              <w:spacing w:before="0" w:beforeAutospacing="0" w:after="160"/>
              <w:rPr>
                <w:b/>
                <w:bCs/>
                <w:i w:val="0"/>
                <w:iCs/>
              </w:rPr>
            </w:pPr>
            <w:r>
              <w:rPr>
                <w:b/>
                <w:bCs/>
                <w:i w:val="0"/>
                <w:iCs/>
              </w:rPr>
              <w:t>Co-product allocation based on e</w:t>
            </w:r>
            <w:r w:rsidR="0008354D">
              <w:rPr>
                <w:b/>
                <w:bCs/>
                <w:i w:val="0"/>
                <w:iCs/>
              </w:rPr>
              <w:t>conomic value in practice</w:t>
            </w:r>
          </w:p>
          <w:p w14:paraId="3C4E86C9" w14:textId="3DAEB295" w:rsidR="0008354D" w:rsidRDefault="0008354D" w:rsidP="00805A97">
            <w:pPr>
              <w:spacing w:before="0" w:beforeAutospacing="0" w:after="160"/>
            </w:pPr>
            <w:r>
              <w:t xml:space="preserve">Facility A produces on average 1.5 kilograms of co-product per kilogram of hydrogen. The </w:t>
            </w:r>
            <w:r w:rsidR="00013E8B">
              <w:t>market value of one kilogram of the co-product is $</w:t>
            </w:r>
            <w:r w:rsidR="00677A5D">
              <w:t>10 and one kilogram of hydrogen is $</w:t>
            </w:r>
            <w:r w:rsidR="00740068">
              <w:t>20.</w:t>
            </w:r>
            <w:r w:rsidR="00522C3F">
              <w:t xml:space="preserve"> </w:t>
            </w:r>
            <w:r>
              <w:t>Facility A also models that the total emissions attributable to shared processes per kilogram of hydrogen produced is 1 kg CO</w:t>
            </w:r>
            <w:r w:rsidRPr="009F7FA5">
              <w:rPr>
                <w:vertAlign w:val="subscript"/>
              </w:rPr>
              <w:t>2</w:t>
            </w:r>
            <w:r>
              <w:t xml:space="preserve">-e, while the total emissions attributable to the </w:t>
            </w:r>
            <w:r w:rsidR="00080AC2">
              <w:t>production boundary</w:t>
            </w:r>
            <w:r>
              <w:t xml:space="preserve"> per kilogram of hydrogen produced is 3.2 kg CO</w:t>
            </w:r>
            <w:r w:rsidRPr="009F7FA5">
              <w:rPr>
                <w:vertAlign w:val="subscript"/>
              </w:rPr>
              <w:t>2</w:t>
            </w:r>
            <w:r>
              <w:t>-e</w:t>
            </w:r>
            <w:r w:rsidR="002762EE">
              <w:t>.</w:t>
            </w:r>
          </w:p>
          <w:p w14:paraId="2B95AB48" w14:textId="77777777" w:rsidR="0008354D" w:rsidRDefault="0008354D" w:rsidP="00805A97">
            <w:pPr>
              <w:spacing w:before="0" w:beforeAutospacing="0" w:after="160"/>
            </w:pPr>
            <w:r>
              <w:t>The proposed energy value allocation calculation is:</w:t>
            </w:r>
          </w:p>
          <w:p w14:paraId="27D8AFF7" w14:textId="328D839D" w:rsidR="0008354D" w:rsidRPr="006C36E2" w:rsidRDefault="00785FEC" w:rsidP="00805A97">
            <w:pPr>
              <w:spacing w:before="0" w:beforeAutospacing="0" w:after="160"/>
              <w:rPr>
                <w:b/>
                <w:bCs/>
              </w:rPr>
            </w:pPr>
            <m:oMathPara>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cp</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r</m:t>
                    </m:r>
                  </m:sub>
                </m:sSub>
                <m:r>
                  <m:rPr>
                    <m:sty m:val="bi"/>
                  </m:rPr>
                  <w:rPr>
                    <w:rFonts w:ascii="Cambria Math" w:hAnsi="Cambria Math"/>
                  </w:rPr>
                  <m:t xml:space="preserve"> ×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cp</m:t>
                        </m:r>
                      </m:sub>
                    </m:sSub>
                  </m:num>
                  <m:den>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rp</m:t>
                        </m:r>
                      </m:sub>
                    </m:sSub>
                  </m:den>
                </m:f>
                <m:r>
                  <m:rPr>
                    <m:sty m:val="bi"/>
                  </m:rPr>
                  <w:rPr>
                    <w:rFonts w:ascii="Cambria Math" w:hAnsi="Cambria Math"/>
                  </w:rPr>
                  <m:t xml:space="preserve"> ×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total, sp</m:t>
                        </m:r>
                      </m:sub>
                    </m:sSub>
                  </m:num>
                  <m:den>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total,ob</m:t>
                        </m:r>
                      </m:sub>
                    </m:sSub>
                  </m:den>
                </m:f>
              </m:oMath>
            </m:oMathPara>
          </w:p>
          <w:p w14:paraId="3EE36328" w14:textId="77777777" w:rsidR="0008354D" w:rsidRDefault="0008354D" w:rsidP="00805A97">
            <w:pPr>
              <w:spacing w:before="0" w:beforeAutospacing="0" w:after="160"/>
            </w:pPr>
            <w:r>
              <w:t>Where:</w:t>
            </w:r>
          </w:p>
          <w:p w14:paraId="345FD9DC" w14:textId="60FEB156" w:rsidR="0008354D" w:rsidRDefault="00785FEC" w:rsidP="004B0F45">
            <w:pPr>
              <w:spacing w:before="0" w:beforeAutospacing="0" w:after="160"/>
              <w:ind w:left="251"/>
            </w:pPr>
            <m:oMath>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r</m:t>
                  </m:r>
                </m:sub>
              </m:sSub>
            </m:oMath>
            <w:r w:rsidR="0008354D">
              <w:t xml:space="preserve"> is the </w:t>
            </w:r>
            <w:r w:rsidR="007935C0">
              <w:t>average</w:t>
            </w:r>
            <w:r w:rsidR="0008354D">
              <w:t xml:space="preserve"> quantity of the co-product produced per kilogram of </w:t>
            </w:r>
            <w:r w:rsidR="009B0DE9">
              <w:t>registered</w:t>
            </w:r>
            <w:r w:rsidR="00FD12DF">
              <w:t xml:space="preserve"> product</w:t>
            </w:r>
            <w:r w:rsidR="0008354D">
              <w:t>,</w:t>
            </w:r>
          </w:p>
          <w:p w14:paraId="2CF16DC3" w14:textId="77777777" w:rsidR="00851D1E" w:rsidRPr="00851D1E" w:rsidRDefault="00785FEC" w:rsidP="004B0F45">
            <w:pPr>
              <w:spacing w:before="0" w:beforeAutospacing="0" w:after="160"/>
              <w:ind w:left="251"/>
            </w:pPr>
            <m:oMath>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cp</m:t>
                  </m:r>
                </m:sub>
              </m:sSub>
            </m:oMath>
            <w:r w:rsidR="0008354D">
              <w:t xml:space="preserve"> is the </w:t>
            </w:r>
            <w:r w:rsidR="00522C3F">
              <w:t xml:space="preserve">dollar value </w:t>
            </w:r>
            <w:r w:rsidR="0008354D">
              <w:t>of a single functional unit of the co-product,</w:t>
            </w:r>
          </w:p>
          <w:p w14:paraId="5C35AF14" w14:textId="472CC8B9" w:rsidR="0008354D" w:rsidRDefault="00785FEC" w:rsidP="004B0F45">
            <w:pPr>
              <w:spacing w:before="0" w:beforeAutospacing="0" w:after="160"/>
              <w:ind w:left="251"/>
            </w:pPr>
            <m:oMath>
              <m:sSub>
                <m:sSubPr>
                  <m:ctrlPr>
                    <w:rPr>
                      <w:rFonts w:ascii="Cambria Math" w:hAnsi="Cambria Math"/>
                      <w:b/>
                      <w:bCs/>
                      <w:i/>
                    </w:rPr>
                  </m:ctrlPr>
                </m:sSubPr>
                <m:e>
                  <m:r>
                    <m:rPr>
                      <m:sty m:val="bi"/>
                    </m:rPr>
                    <w:rPr>
                      <w:rFonts w:ascii="Cambria Math" w:hAnsi="Cambria Math"/>
                    </w:rPr>
                    <m:t>$</m:t>
                  </m:r>
                </m:e>
                <m:sub>
                  <m:r>
                    <m:rPr>
                      <m:sty m:val="bi"/>
                    </m:rPr>
                    <w:rPr>
                      <w:rFonts w:ascii="Cambria Math" w:hAnsi="Cambria Math"/>
                    </w:rPr>
                    <m:t>rp</m:t>
                  </m:r>
                </m:sub>
              </m:sSub>
            </m:oMath>
            <w:r w:rsidR="0008354D">
              <w:t xml:space="preserve"> is the </w:t>
            </w:r>
            <w:r w:rsidR="00912869">
              <w:t xml:space="preserve">dollar value </w:t>
            </w:r>
            <w:r w:rsidR="0008354D">
              <w:t xml:space="preserve">of a single kilogram of </w:t>
            </w:r>
            <w:r w:rsidR="0054206C">
              <w:t>registered product</w:t>
            </w:r>
            <w:r w:rsidR="0008354D">
              <w:t>.</w:t>
            </w:r>
            <w:r w:rsidR="00912869">
              <w:t xml:space="preserve"> Market prices </w:t>
            </w:r>
            <w:r w:rsidR="00C96A81">
              <w:t xml:space="preserve">may be sourced from </w:t>
            </w:r>
            <w:r w:rsidR="001C3A4F">
              <w:t>commodity index</w:t>
            </w:r>
            <w:r w:rsidR="00156CB7">
              <w:t>ing services</w:t>
            </w:r>
            <w:r w:rsidR="002A0E9B">
              <w:t xml:space="preserve"> </w:t>
            </w:r>
            <w:r w:rsidR="00FF4E4D">
              <w:t>and</w:t>
            </w:r>
            <w:r w:rsidR="00632D5A">
              <w:t xml:space="preserve"> the specific service should be</w:t>
            </w:r>
            <w:r w:rsidR="006D427F">
              <w:t xml:space="preserve"> </w:t>
            </w:r>
            <w:r w:rsidR="004F62CB">
              <w:t>referenced</w:t>
            </w:r>
            <w:r w:rsidR="00912869">
              <w:t>.</w:t>
            </w:r>
          </w:p>
          <w:p w14:paraId="128A6A29" w14:textId="3FF12234" w:rsidR="0008354D" w:rsidRDefault="00785FEC" w:rsidP="004B0F45">
            <w:pPr>
              <w:spacing w:before="0" w:beforeAutospacing="0" w:after="160"/>
              <w:ind w:left="251"/>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total, sp</m:t>
                  </m:r>
                </m:sub>
              </m:sSub>
            </m:oMath>
            <w:r w:rsidR="0008354D">
              <w:t xml:space="preserve"> is the total emissions that </w:t>
            </w:r>
            <w:r w:rsidR="00E75A39">
              <w:t xml:space="preserve">is </w:t>
            </w:r>
            <w:r w:rsidR="0008354D">
              <w:t xml:space="preserve">incurred in shared processes within the </w:t>
            </w:r>
            <w:r w:rsidR="00080AC2">
              <w:t>production boundary</w:t>
            </w:r>
            <w:r w:rsidR="0008354D">
              <w:t xml:space="preserve"> per kilogram of </w:t>
            </w:r>
            <w:r w:rsidR="00E93393">
              <w:t>registered product</w:t>
            </w:r>
            <w:r w:rsidR="0008354D">
              <w:t xml:space="preserve">. </w:t>
            </w:r>
          </w:p>
          <w:p w14:paraId="63175CD7" w14:textId="115E79A2" w:rsidR="0008354D" w:rsidRDefault="00785FEC" w:rsidP="004B0F45">
            <w:pPr>
              <w:spacing w:before="0" w:beforeAutospacing="0" w:after="160"/>
              <w:ind w:left="251"/>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total,ob</m:t>
                  </m:r>
                </m:sub>
              </m:sSub>
            </m:oMath>
            <w:r w:rsidR="0008354D">
              <w:t xml:space="preserve"> is the total </w:t>
            </w:r>
            <w:r w:rsidR="00BA7711">
              <w:t xml:space="preserve">emissions </w:t>
            </w:r>
            <w:r w:rsidR="0008354D">
              <w:t xml:space="preserve">that </w:t>
            </w:r>
            <w:r w:rsidR="000B009B">
              <w:t xml:space="preserve">is </w:t>
            </w:r>
            <w:r w:rsidR="0008354D">
              <w:t xml:space="preserve">incurred throughout the </w:t>
            </w:r>
            <w:r w:rsidR="00080AC2">
              <w:t>production boundary</w:t>
            </w:r>
            <w:r w:rsidR="0008354D">
              <w:t xml:space="preserve"> per kilogram of </w:t>
            </w:r>
            <w:r w:rsidR="00500245">
              <w:t>registered product</w:t>
            </w:r>
            <w:r w:rsidR="0008354D">
              <w:t>.</w:t>
            </w:r>
          </w:p>
          <w:p w14:paraId="12519BEB" w14:textId="77777777" w:rsidR="0008354D" w:rsidRDefault="0008354D" w:rsidP="004B0F45">
            <w:pPr>
              <w:spacing w:before="0" w:beforeAutospacing="0" w:after="160"/>
              <w:ind w:left="251"/>
            </w:pPr>
            <w:r>
              <w:t>Substituting the values from the above example into this equation produces the result:</w:t>
            </w:r>
          </w:p>
          <w:p w14:paraId="5FD74ADB" w14:textId="090A524D" w:rsidR="0008354D" w:rsidRPr="006C36E2" w:rsidRDefault="006C36E2" w:rsidP="00805A97">
            <w:pPr>
              <w:spacing w:before="0" w:beforeAutospacing="0" w:after="160"/>
              <w:rPr>
                <w:b/>
                <w:bCs/>
              </w:rPr>
            </w:pPr>
            <m:oMathPara>
              <m:oMath>
                <m:r>
                  <m:rPr>
                    <m:sty m:val="bi"/>
                  </m:rPr>
                  <w:rPr>
                    <w:rFonts w:ascii="Cambria Math" w:hAnsi="Cambria Math"/>
                  </w:rPr>
                  <m:t>0.23=1.5 ×</m:t>
                </m:r>
                <m:f>
                  <m:fPr>
                    <m:ctrlPr>
                      <w:rPr>
                        <w:rFonts w:ascii="Cambria Math" w:hAnsi="Cambria Math"/>
                        <w:b/>
                        <w:bCs/>
                        <w:i/>
                      </w:rPr>
                    </m:ctrlPr>
                  </m:fPr>
                  <m:num>
                    <m:r>
                      <m:rPr>
                        <m:sty m:val="bi"/>
                      </m:rPr>
                      <w:rPr>
                        <w:rFonts w:ascii="Cambria Math" w:hAnsi="Cambria Math"/>
                      </w:rPr>
                      <m:t>10</m:t>
                    </m:r>
                  </m:num>
                  <m:den>
                    <m:r>
                      <m:rPr>
                        <m:sty m:val="bi"/>
                      </m:rPr>
                      <w:rPr>
                        <w:rFonts w:ascii="Cambria Math" w:hAnsi="Cambria Math"/>
                      </w:rPr>
                      <m:t xml:space="preserve"> 20</m:t>
                    </m:r>
                  </m:den>
                </m:f>
                <m:r>
                  <m:rPr>
                    <m:sty m:val="bi"/>
                  </m:rPr>
                  <w:rPr>
                    <w:rFonts w:ascii="Cambria Math" w:hAnsi="Cambria Math"/>
                  </w:rPr>
                  <m:t xml:space="preserve"> × </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3.2</m:t>
                    </m:r>
                  </m:den>
                </m:f>
              </m:oMath>
            </m:oMathPara>
          </w:p>
          <w:p w14:paraId="615F8E25" w14:textId="287CFF27" w:rsidR="0008354D" w:rsidRPr="00C94E01" w:rsidRDefault="0008354D" w:rsidP="004B0F45">
            <w:pPr>
              <w:spacing w:before="0" w:beforeAutospacing="0" w:after="160"/>
              <w:ind w:left="251"/>
            </w:pPr>
            <w:r>
              <w:t xml:space="preserve">Under the </w:t>
            </w:r>
            <w:r w:rsidR="00623A60">
              <w:t>economic</w:t>
            </w:r>
            <w:r>
              <w:t xml:space="preserve"> value allocation approach, Facility A would be able to use a modelled allocation value of 0.2</w:t>
            </w:r>
            <w:r w:rsidR="00D71F14">
              <w:t>3</w:t>
            </w:r>
            <w:r>
              <w:t>.</w:t>
            </w:r>
          </w:p>
        </w:tc>
      </w:tr>
    </w:tbl>
    <w:p w14:paraId="7C52BA64" w14:textId="77777777" w:rsidR="002C5ADF" w:rsidRDefault="002C5ADF">
      <w:pPr>
        <w:rPr>
          <w:rFonts w:asciiTheme="majorHAnsi" w:eastAsiaTheme="majorEastAsia" w:hAnsiTheme="majorHAnsi" w:cstheme="majorBidi"/>
          <w:color w:val="44546A"/>
          <w:sz w:val="40"/>
          <w:szCs w:val="48"/>
        </w:rPr>
      </w:pPr>
      <w:bookmarkStart w:id="159" w:name="_Ref140523433"/>
      <w:bookmarkStart w:id="160" w:name="_Ref140524789"/>
      <w:r>
        <w:br w:type="page"/>
      </w:r>
    </w:p>
    <w:p w14:paraId="5BB85818" w14:textId="38F3C4BB" w:rsidR="001B406F" w:rsidRDefault="00123811" w:rsidP="00BB357C">
      <w:pPr>
        <w:pStyle w:val="Heading2"/>
        <w:spacing w:before="360"/>
      </w:pPr>
      <w:bookmarkStart w:id="161" w:name="_Toc146029797"/>
      <w:r>
        <w:t>Post-production boundary</w:t>
      </w:r>
      <w:bookmarkEnd w:id="159"/>
      <w:bookmarkEnd w:id="160"/>
      <w:r w:rsidR="00594266">
        <w:t xml:space="preserve"> emissions</w:t>
      </w:r>
      <w:bookmarkEnd w:id="161"/>
    </w:p>
    <w:p w14:paraId="32C1780B" w14:textId="0CB70229" w:rsidR="007F110D" w:rsidRDefault="005D4263" w:rsidP="00CA7082">
      <w:r>
        <w:t xml:space="preserve">The </w:t>
      </w:r>
      <w:r w:rsidR="00706063">
        <w:t>p</w:t>
      </w:r>
      <w:r>
        <w:t xml:space="preserve">ost-production boundary is defined </w:t>
      </w:r>
      <w:r w:rsidR="00706063">
        <w:t xml:space="preserve">in Part 1 of this paper and broadly covers emissions within the </w:t>
      </w:r>
      <w:r w:rsidR="0052552F">
        <w:t xml:space="preserve">production </w:t>
      </w:r>
      <w:r w:rsidR="00706063">
        <w:t>gate-to-</w:t>
      </w:r>
      <w:r w:rsidR="004D3590">
        <w:t xml:space="preserve">delivery gate </w:t>
      </w:r>
      <w:r w:rsidR="00706063">
        <w:t xml:space="preserve">portion of the system boundary. The guidance below proposes approaches for calculating emissions associated with transport and storage, as well as </w:t>
      </w:r>
      <w:r w:rsidR="00231E60">
        <w:t xml:space="preserve">the approach to correcting for losses. </w:t>
      </w:r>
      <w:r w:rsidR="004B43F0">
        <w:t xml:space="preserve">These approaches are specific to the </w:t>
      </w:r>
      <w:r w:rsidR="007947C8">
        <w:t>post-</w:t>
      </w:r>
      <w:r w:rsidR="00080AC2">
        <w:t>production boundary</w:t>
      </w:r>
      <w:r w:rsidR="004B43F0">
        <w:t xml:space="preserve"> and not proposed for the emissions within the </w:t>
      </w:r>
      <w:r w:rsidR="00080AC2">
        <w:t>production boundary</w:t>
      </w:r>
      <w:r w:rsidR="004B43F0">
        <w:t>.</w:t>
      </w:r>
    </w:p>
    <w:p w14:paraId="2F93FF5D" w14:textId="7CC73627" w:rsidR="001B406F" w:rsidRDefault="003D29D6" w:rsidP="00BB357C">
      <w:pPr>
        <w:pStyle w:val="Heading3"/>
        <w:spacing w:before="200"/>
      </w:pPr>
      <w:r>
        <w:t>Transport emissions</w:t>
      </w:r>
    </w:p>
    <w:p w14:paraId="3736FBC3" w14:textId="69B80510" w:rsidR="00A02088" w:rsidRDefault="007D5C3A" w:rsidP="002E79DC">
      <w:bookmarkStart w:id="162" w:name="_Ref129879328"/>
      <w:bookmarkStart w:id="163" w:name="_Ref129879314"/>
      <w:r>
        <w:t xml:space="preserve">Transport emissions </w:t>
      </w:r>
      <w:r w:rsidR="00CF00A8">
        <w:t xml:space="preserve">are </w:t>
      </w:r>
      <w:r>
        <w:t xml:space="preserve">associated with </w:t>
      </w:r>
      <w:r w:rsidR="00927BAC">
        <w:t>transporting registered products from their point of prod</w:t>
      </w:r>
      <w:r w:rsidR="00CF00A8">
        <w:t xml:space="preserve">uction to their point of consumption, </w:t>
      </w:r>
      <w:r w:rsidR="00C11885">
        <w:t>including any stops for storage or multi leg steps.</w:t>
      </w:r>
      <w:r w:rsidR="00292B1E">
        <w:t xml:space="preserve"> </w:t>
      </w:r>
      <w:r w:rsidR="002F29F7">
        <w:t xml:space="preserve">There are a range </w:t>
      </w:r>
      <w:r w:rsidR="00213AD3">
        <w:t xml:space="preserve">of transport options that may be used throughout supply chains, such as trucks, trains, maritime shipping and through pipelines. </w:t>
      </w:r>
      <w:r w:rsidR="00174898">
        <w:t>These transport processes may also have varying information available to help quantify the emissions.</w:t>
      </w:r>
    </w:p>
    <w:p w14:paraId="28E7D6B3" w14:textId="6ED9FD98" w:rsidR="00213AD3" w:rsidRPr="002E79DC" w:rsidRDefault="00A02088" w:rsidP="002E79DC">
      <w:r>
        <w:t>The GO scheme is also proposed to include a method for allocating emissions to other products where they are transported alongside the registered product. The emissions allocated to other products will be able to be deducted from the overall transport emissions.</w:t>
      </w:r>
    </w:p>
    <w:p w14:paraId="0B96734D" w14:textId="6E4C293D" w:rsidR="00454B5F" w:rsidRPr="003B5FA3" w:rsidRDefault="00A02088" w:rsidP="005F61D1">
      <w:pPr>
        <w:pStyle w:val="Calloutbox"/>
        <w:keepNext/>
        <w:contextualSpacing w:val="0"/>
        <w:rPr>
          <w:b/>
          <w:bCs/>
        </w:rPr>
      </w:pPr>
      <w:r>
        <w:rPr>
          <w:b/>
          <w:bCs/>
        </w:rPr>
        <w:t xml:space="preserve">GO Calculator user guide – </w:t>
      </w:r>
      <w:r w:rsidR="00771633">
        <w:rPr>
          <w:b/>
          <w:bCs/>
        </w:rPr>
        <w:t xml:space="preserve">Inputting </w:t>
      </w:r>
      <w:r>
        <w:rPr>
          <w:b/>
          <w:bCs/>
        </w:rPr>
        <w:t>transport emissions</w:t>
      </w:r>
    </w:p>
    <w:p w14:paraId="25D21289" w14:textId="77777777" w:rsidR="00454B5F" w:rsidRDefault="00454B5F" w:rsidP="00454B5F">
      <w:pPr>
        <w:pStyle w:val="Calloutbox"/>
        <w:spacing w:after="120"/>
        <w:contextualSpacing w:val="0"/>
      </w:pPr>
      <w:r>
        <w:t>The emissions associated with transport of the registered products from the product facility gate to the delivery gate are captured in the “Transport and Storage – Hydrogen” tab.</w:t>
      </w:r>
    </w:p>
    <w:p w14:paraId="76541541" w14:textId="389F9CEA" w:rsidR="00C34B7B" w:rsidRDefault="003504EB" w:rsidP="00A56856">
      <w:pPr>
        <w:pStyle w:val="Calloutbox"/>
        <w:spacing w:after="120"/>
        <w:contextualSpacing w:val="0"/>
      </w:pPr>
      <w:r>
        <w:t xml:space="preserve">There are </w:t>
      </w:r>
      <w:r w:rsidR="00CE4E3F">
        <w:t xml:space="preserve">separate </w:t>
      </w:r>
      <w:r>
        <w:t xml:space="preserve">sections in this tab for vehicular transport and pipeline </w:t>
      </w:r>
      <w:r w:rsidR="00585FA6">
        <w:t>transport</w:t>
      </w:r>
      <w:r>
        <w:t xml:space="preserve">. </w:t>
      </w:r>
    </w:p>
    <w:p w14:paraId="5100BAC7" w14:textId="0B8C5793" w:rsidR="00F83F5C" w:rsidRDefault="0087401E" w:rsidP="006E1A4A">
      <w:pPr>
        <w:pStyle w:val="Calloutbox"/>
        <w:spacing w:after="120"/>
        <w:contextualSpacing w:val="0"/>
      </w:pPr>
      <w:r>
        <w:t xml:space="preserve">In the </w:t>
      </w:r>
      <w:r w:rsidR="00AA0AFE" w:rsidRPr="003534D0">
        <w:rPr>
          <w:i/>
          <w:iCs/>
        </w:rPr>
        <w:t>TRANSPORT DETAILS – VEHICULAR TRANSPORT</w:t>
      </w:r>
      <w:r>
        <w:t xml:space="preserve"> section users can </w:t>
      </w:r>
      <w:r w:rsidR="00C81C08">
        <w:t>cho</w:t>
      </w:r>
      <w:r w:rsidR="00142D3F">
        <w:t>o</w:t>
      </w:r>
      <w:r w:rsidR="00C81C08">
        <w:t>se the emissions estimat</w:t>
      </w:r>
      <w:r w:rsidR="00142D3F">
        <w:t>ion</w:t>
      </w:r>
      <w:r w:rsidR="00C81C08">
        <w:t xml:space="preserve"> method and </w:t>
      </w:r>
      <w:r w:rsidR="0003461E">
        <w:t xml:space="preserve">input the </w:t>
      </w:r>
      <w:r w:rsidR="003C6FF1">
        <w:t>mode of transport (</w:t>
      </w:r>
      <w:r w:rsidR="00CD513F">
        <w:t>vehicle type</w:t>
      </w:r>
      <w:r w:rsidR="003C6FF1">
        <w:t>, coastal shipping or rail</w:t>
      </w:r>
      <w:r w:rsidR="00C0475E">
        <w:t xml:space="preserve">) </w:t>
      </w:r>
      <w:r w:rsidR="00CD513F">
        <w:t xml:space="preserve">for each </w:t>
      </w:r>
      <w:r w:rsidR="00C0475E">
        <w:t xml:space="preserve">leg of the transport </w:t>
      </w:r>
      <w:r w:rsidR="0003461E">
        <w:t>route</w:t>
      </w:r>
      <w:r w:rsidR="00CD513F">
        <w:t>.</w:t>
      </w:r>
      <w:r w:rsidR="00FF2B71">
        <w:t xml:space="preserve"> Depending on the emissions estimation method chosen</w:t>
      </w:r>
      <w:r w:rsidR="00252FFC">
        <w:t xml:space="preserve">, </w:t>
      </w:r>
      <w:r w:rsidR="00425F90">
        <w:t xml:space="preserve">further details are required in </w:t>
      </w:r>
      <w:r w:rsidR="00605069">
        <w:t xml:space="preserve">either the </w:t>
      </w:r>
      <w:r w:rsidR="009A3B37" w:rsidRPr="003534D0">
        <w:rPr>
          <w:i/>
          <w:iCs/>
        </w:rPr>
        <w:t>VEHICULAR TRANSPORT</w:t>
      </w:r>
      <w:r w:rsidR="009A3B37" w:rsidRPr="00605069">
        <w:rPr>
          <w:i/>
          <w:iCs/>
        </w:rPr>
        <w:t xml:space="preserve"> </w:t>
      </w:r>
      <w:r w:rsidR="009A3B37">
        <w:rPr>
          <w:i/>
          <w:iCs/>
        </w:rPr>
        <w:t xml:space="preserve">- </w:t>
      </w:r>
      <w:r w:rsidR="00605069" w:rsidRPr="00605069">
        <w:rPr>
          <w:i/>
          <w:iCs/>
        </w:rPr>
        <w:t>FUEL CONSUMPTION METHOD</w:t>
      </w:r>
      <w:r w:rsidR="00605069">
        <w:t xml:space="preserve"> section or </w:t>
      </w:r>
      <w:r w:rsidR="009A3B37" w:rsidRPr="003534D0">
        <w:rPr>
          <w:i/>
          <w:iCs/>
        </w:rPr>
        <w:t>VEHICULAR TRANSPORT</w:t>
      </w:r>
      <w:r w:rsidR="009A3B37" w:rsidRPr="00605069">
        <w:rPr>
          <w:i/>
          <w:iCs/>
        </w:rPr>
        <w:t xml:space="preserve"> </w:t>
      </w:r>
      <w:r w:rsidR="009A3B37">
        <w:rPr>
          <w:i/>
          <w:iCs/>
        </w:rPr>
        <w:t xml:space="preserve">- </w:t>
      </w:r>
      <w:r w:rsidR="00605069" w:rsidRPr="00605069">
        <w:rPr>
          <w:i/>
          <w:iCs/>
        </w:rPr>
        <w:t>LOAD DISTANCE METHOD</w:t>
      </w:r>
      <w:r w:rsidR="00605069">
        <w:t xml:space="preserve"> section</w:t>
      </w:r>
      <w:r w:rsidR="006E1A4A">
        <w:t xml:space="preserve"> to estimate v</w:t>
      </w:r>
      <w:r w:rsidR="005121DD">
        <w:t>ehicular transport emissions.</w:t>
      </w:r>
    </w:p>
    <w:p w14:paraId="36B3429B" w14:textId="5EC9B180" w:rsidR="005121DD" w:rsidRDefault="005121DD" w:rsidP="00A56856">
      <w:pPr>
        <w:pStyle w:val="Calloutbox"/>
        <w:spacing w:after="120"/>
        <w:contextualSpacing w:val="0"/>
      </w:pPr>
      <w:r>
        <w:t xml:space="preserve">The emissions attributable to other products </w:t>
      </w:r>
      <w:r w:rsidR="00980A96">
        <w:t xml:space="preserve">transported </w:t>
      </w:r>
      <w:r w:rsidR="00724DCE">
        <w:t xml:space="preserve">alongside the registered product </w:t>
      </w:r>
      <w:r>
        <w:t xml:space="preserve">can be estimated </w:t>
      </w:r>
      <w:r w:rsidR="00724DCE">
        <w:t xml:space="preserve">in </w:t>
      </w:r>
      <w:r>
        <w:t xml:space="preserve">the </w:t>
      </w:r>
      <w:r w:rsidR="002A3F1E" w:rsidRPr="003534D0">
        <w:rPr>
          <w:i/>
          <w:iCs/>
        </w:rPr>
        <w:t>VEHICULAR TRANSPORT</w:t>
      </w:r>
      <w:r w:rsidR="002A3F1E" w:rsidRPr="00605069">
        <w:rPr>
          <w:i/>
          <w:iCs/>
        </w:rPr>
        <w:t xml:space="preserve"> </w:t>
      </w:r>
      <w:r w:rsidR="002A3F1E">
        <w:rPr>
          <w:i/>
          <w:iCs/>
        </w:rPr>
        <w:t xml:space="preserve">- </w:t>
      </w:r>
      <w:r w:rsidRPr="002A3F1E">
        <w:rPr>
          <w:i/>
        </w:rPr>
        <w:t>OTHER PRODUCT ALLOCATION</w:t>
      </w:r>
      <w:r>
        <w:t xml:space="preserve"> section.</w:t>
      </w:r>
    </w:p>
    <w:p w14:paraId="364727F5" w14:textId="7FA94900" w:rsidR="00A02088" w:rsidRDefault="00440800" w:rsidP="00EF5BCC">
      <w:pPr>
        <w:pStyle w:val="Calloutbox"/>
      </w:pPr>
      <w:r>
        <w:t xml:space="preserve">For transport via pipeline, </w:t>
      </w:r>
      <w:r w:rsidR="00BE7FC8">
        <w:t xml:space="preserve">users can input the pipeline distance and the quantity of the product transported </w:t>
      </w:r>
      <w:r w:rsidR="00B417C3">
        <w:t xml:space="preserve">in the </w:t>
      </w:r>
      <w:r w:rsidR="00B417C3" w:rsidRPr="00B417C3">
        <w:rPr>
          <w:i/>
          <w:iCs/>
        </w:rPr>
        <w:t>TRANSPORT DETAILS – PIPELINE</w:t>
      </w:r>
      <w:r w:rsidR="00B417C3">
        <w:t xml:space="preserve"> section.</w:t>
      </w:r>
      <w:r w:rsidR="00273A15">
        <w:t xml:space="preserve"> </w:t>
      </w:r>
      <w:r w:rsidR="00F4747C">
        <w:t xml:space="preserve">Co-product allocations are estimated in the </w:t>
      </w:r>
      <w:r w:rsidR="00F4747C" w:rsidRPr="00AC38AD">
        <w:rPr>
          <w:i/>
          <w:iCs/>
        </w:rPr>
        <w:t xml:space="preserve">PIPELINE – OTHER </w:t>
      </w:r>
      <w:r w:rsidR="00AC38AD" w:rsidRPr="00AC38AD">
        <w:rPr>
          <w:i/>
          <w:iCs/>
        </w:rPr>
        <w:t>PRODUCT ALLOCATION</w:t>
      </w:r>
      <w:r w:rsidR="00AC38AD">
        <w:t xml:space="preserve"> section for each pipeline route.</w:t>
      </w:r>
    </w:p>
    <w:tbl>
      <w:tblPr>
        <w:tblStyle w:val="CERCallout"/>
        <w:tblpPr w:leftFromText="180" w:rightFromText="180" w:vertAnchor="text" w:horzAnchor="margin" w:tblpY="232"/>
        <w:tblW w:w="5000" w:type="pct"/>
        <w:tblLook w:val="0480" w:firstRow="0" w:lastRow="0" w:firstColumn="1" w:lastColumn="0" w:noHBand="0" w:noVBand="1"/>
        <w:tblCaption w:val="test"/>
        <w:tblDescription w:val="tesst"/>
      </w:tblPr>
      <w:tblGrid>
        <w:gridCol w:w="8996"/>
      </w:tblGrid>
      <w:tr w:rsidR="00AF2BA5" w14:paraId="7C125635" w14:textId="77777777" w:rsidTr="00DE2C9E">
        <w:trPr>
          <w:cantSplit w:val="0"/>
        </w:trPr>
        <w:tc>
          <w:tcPr>
            <w:tcW w:w="5000" w:type="pct"/>
          </w:tcPr>
          <w:p w14:paraId="14C956C0" w14:textId="6A95CBA1" w:rsidR="00AF2BA5" w:rsidRPr="00C209F1" w:rsidRDefault="004839C8" w:rsidP="008A4FA7">
            <w:pPr>
              <w:pStyle w:val="Heading4"/>
              <w:numPr>
                <w:ilvl w:val="0"/>
                <w:numId w:val="0"/>
              </w:numPr>
              <w:spacing w:before="0" w:beforeAutospacing="0" w:after="160"/>
              <w:rPr>
                <w:b/>
                <w:bCs/>
                <w:i w:val="0"/>
                <w:iCs/>
              </w:rPr>
            </w:pPr>
            <w:r>
              <w:rPr>
                <w:b/>
                <w:bCs/>
                <w:i w:val="0"/>
                <w:iCs/>
              </w:rPr>
              <w:t>Calculating t</w:t>
            </w:r>
            <w:r w:rsidR="00AF2BA5">
              <w:rPr>
                <w:b/>
                <w:bCs/>
                <w:i w:val="0"/>
                <w:iCs/>
              </w:rPr>
              <w:t xml:space="preserve">ransport emissions </w:t>
            </w:r>
            <w:r w:rsidR="0079059B">
              <w:rPr>
                <w:b/>
                <w:bCs/>
                <w:i w:val="0"/>
                <w:iCs/>
              </w:rPr>
              <w:t xml:space="preserve">attributable to </w:t>
            </w:r>
            <w:r w:rsidR="00346AC0">
              <w:rPr>
                <w:b/>
                <w:bCs/>
                <w:i w:val="0"/>
                <w:iCs/>
              </w:rPr>
              <w:t xml:space="preserve">the registered </w:t>
            </w:r>
            <w:r w:rsidR="002C7DD5">
              <w:rPr>
                <w:b/>
                <w:bCs/>
                <w:i w:val="0"/>
                <w:iCs/>
              </w:rPr>
              <w:t>product in mixed cargo</w:t>
            </w:r>
            <w:r w:rsidR="00AF2BA5">
              <w:rPr>
                <w:b/>
                <w:bCs/>
                <w:i w:val="0"/>
                <w:iCs/>
              </w:rPr>
              <w:t xml:space="preserve"> in practice</w:t>
            </w:r>
          </w:p>
          <w:p w14:paraId="65C82CD3" w14:textId="6475C874" w:rsidR="00AF2BA5" w:rsidRDefault="00AF2BA5" w:rsidP="008A4FA7">
            <w:pPr>
              <w:spacing w:before="0" w:beforeAutospacing="0" w:after="160"/>
            </w:pPr>
            <w:r>
              <w:t>Transport company A estimates that the emissions associated with transporting a batch of hydrogen from the point of p</w:t>
            </w:r>
            <w:r w:rsidR="00412258">
              <w:t>roduction to the point of consumption</w:t>
            </w:r>
            <w:r>
              <w:t xml:space="preserve"> is 0.8 kg CO</w:t>
            </w:r>
            <w:r w:rsidRPr="009F7FA5">
              <w:rPr>
                <w:vertAlign w:val="subscript"/>
              </w:rPr>
              <w:t>2</w:t>
            </w:r>
            <w:r>
              <w:t xml:space="preserve">-e. </w:t>
            </w:r>
            <w:r w:rsidR="00807DA7">
              <w:t xml:space="preserve">The portion </w:t>
            </w:r>
            <w:r w:rsidR="007315A0">
              <w:t>allocated to other products transported alongside the registered product is 0.2</w:t>
            </w:r>
            <w:r w:rsidR="00262326">
              <w:t>5</w:t>
            </w:r>
            <w:r w:rsidR="007315A0">
              <w:t>.</w:t>
            </w:r>
          </w:p>
          <w:p w14:paraId="454F73F8" w14:textId="35EB4DB0" w:rsidR="00AF2BA5" w:rsidRDefault="00AF2BA5" w:rsidP="008A4FA7">
            <w:pPr>
              <w:spacing w:before="0" w:beforeAutospacing="0" w:after="160"/>
            </w:pPr>
            <w:r>
              <w:t>The proposed allocation calculation is:</w:t>
            </w:r>
          </w:p>
          <w:p w14:paraId="1420D61A" w14:textId="747765FA" w:rsidR="00AF2BA5" w:rsidRPr="006C36E2" w:rsidRDefault="00785FEC" w:rsidP="008A4FA7">
            <w:pPr>
              <w:spacing w:before="0" w:beforeAutospacing="0" w:after="160"/>
              <w:rPr>
                <w:b/>
                <w:bCs/>
              </w:rPr>
            </w:pPr>
            <m:oMathPara>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transport</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transport,overall</m:t>
                    </m:r>
                  </m:sub>
                </m:sSub>
                <m:r>
                  <m:rPr>
                    <m:sty m:val="bi"/>
                  </m:rPr>
                  <w:rPr>
                    <w:rFonts w:ascii="Cambria Math" w:hAnsi="Cambria Math"/>
                  </w:rPr>
                  <m:t>×</m:t>
                </m:r>
                <m:d>
                  <m:dPr>
                    <m:ctrlPr>
                      <w:rPr>
                        <w:rFonts w:ascii="Cambria Math" w:hAnsi="Cambria Math"/>
                        <w:b/>
                        <w:bCs/>
                        <w:i/>
                      </w:rPr>
                    </m:ctrlPr>
                  </m:dPr>
                  <m:e>
                    <m:r>
                      <m:rPr>
                        <m:sty m:val="bi"/>
                      </m:rPr>
                      <w:rPr>
                        <w:rFonts w:ascii="Cambria Math" w:hAnsi="Cambria Math"/>
                      </w:rPr>
                      <m:t>1-</m:t>
                    </m:r>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otherproducts</m:t>
                        </m:r>
                      </m:sub>
                    </m:sSub>
                  </m:e>
                </m:d>
              </m:oMath>
            </m:oMathPara>
          </w:p>
          <w:p w14:paraId="4AC2513A" w14:textId="77777777" w:rsidR="00AF2BA5" w:rsidRDefault="00AF2BA5" w:rsidP="008A4FA7">
            <w:pPr>
              <w:spacing w:before="0" w:beforeAutospacing="0" w:after="160"/>
            </w:pPr>
            <w:r>
              <w:t>Where:</w:t>
            </w:r>
          </w:p>
          <w:p w14:paraId="77249D3D" w14:textId="38089200" w:rsidR="00851AA0" w:rsidRPr="00851AA0" w:rsidRDefault="00785FEC" w:rsidP="00851AA0">
            <w:pPr>
              <w:spacing w:before="0" w:beforeAutospacing="0" w:after="160"/>
              <w:ind w:left="251"/>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transport</m:t>
                  </m:r>
                </m:sub>
              </m:sSub>
            </m:oMath>
            <w:r w:rsidR="00851AA0" w:rsidRPr="00851AA0">
              <w:t xml:space="preserve"> is the emissions attributable to the transport process for the registered product,</w:t>
            </w:r>
          </w:p>
          <w:p w14:paraId="1BB2F73D" w14:textId="18B0080F" w:rsidR="00AF2BA5" w:rsidRDefault="00785FEC" w:rsidP="004B0F45">
            <w:pPr>
              <w:spacing w:before="0" w:beforeAutospacing="0" w:after="160"/>
              <w:ind w:left="251"/>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transport,overall</m:t>
                  </m:r>
                </m:sub>
              </m:sSub>
            </m:oMath>
            <w:r w:rsidR="00AF2BA5">
              <w:t xml:space="preserve"> is the </w:t>
            </w:r>
            <w:r w:rsidR="002A0351">
              <w:t xml:space="preserve">total emissions attributable to the transport process overall </w:t>
            </w:r>
            <w:r w:rsidR="00C30046">
              <w:t>for the registered product and other products</w:t>
            </w:r>
            <w:r w:rsidR="00AA20BB">
              <w:t xml:space="preserve"> transported </w:t>
            </w:r>
            <w:r w:rsidR="00904547">
              <w:t>together, and</w:t>
            </w:r>
          </w:p>
          <w:p w14:paraId="3BC3987B" w14:textId="2B23F40D" w:rsidR="00AF2BA5" w:rsidRDefault="00785FEC" w:rsidP="004B0F45">
            <w:pPr>
              <w:spacing w:before="0" w:beforeAutospacing="0" w:after="160"/>
              <w:ind w:left="251"/>
            </w:pP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otherproducts</m:t>
                  </m:r>
                </m:sub>
              </m:sSub>
            </m:oMath>
            <w:r w:rsidR="00AF2BA5" w:rsidRPr="006C36E2">
              <w:rPr>
                <w:b/>
                <w:bCs/>
              </w:rPr>
              <w:t xml:space="preserve"> </w:t>
            </w:r>
            <w:r w:rsidR="00C30046">
              <w:t>is the proportion of emissions attributable to other products</w:t>
            </w:r>
            <w:r w:rsidR="009C3171">
              <w:t xml:space="preserve"> transported with the registered product</w:t>
            </w:r>
            <w:r w:rsidR="00C30046">
              <w:t xml:space="preserve">. </w:t>
            </w:r>
          </w:p>
          <w:p w14:paraId="4D27E099" w14:textId="77777777" w:rsidR="00AF2BA5" w:rsidRDefault="00AF2BA5" w:rsidP="004B0F45">
            <w:pPr>
              <w:spacing w:before="0" w:beforeAutospacing="0" w:after="160"/>
              <w:ind w:left="251"/>
            </w:pPr>
            <w:r>
              <w:t>Substituting the values from the above example into this equation produces the result:</w:t>
            </w:r>
          </w:p>
          <w:p w14:paraId="0DE0398F" w14:textId="23D63AC1" w:rsidR="00AF2BA5" w:rsidRPr="006C36E2" w:rsidRDefault="006C36E2" w:rsidP="008A4FA7">
            <w:pPr>
              <w:spacing w:before="0" w:beforeAutospacing="0" w:after="160"/>
              <w:rPr>
                <w:b/>
                <w:bCs/>
              </w:rPr>
            </w:pPr>
            <m:oMathPara>
              <m:oMath>
                <m:r>
                  <m:rPr>
                    <m:sty m:val="bi"/>
                  </m:rPr>
                  <w:rPr>
                    <w:rFonts w:ascii="Cambria Math" w:hAnsi="Cambria Math"/>
                  </w:rPr>
                  <m:t>0.6=0.8×(1-0.25)</m:t>
                </m:r>
              </m:oMath>
            </m:oMathPara>
          </w:p>
          <w:p w14:paraId="6E0CCC9B" w14:textId="32D2A6D6" w:rsidR="00AF2BA5" w:rsidRPr="00C94E01" w:rsidRDefault="00384A42" w:rsidP="004B0F45">
            <w:pPr>
              <w:spacing w:before="0" w:beforeAutospacing="0" w:after="160"/>
              <w:ind w:left="251"/>
            </w:pPr>
            <w:r>
              <w:t xml:space="preserve">The emissions attributable to the </w:t>
            </w:r>
            <w:r w:rsidR="0000446E">
              <w:t>transport of this batch of hydrogen</w:t>
            </w:r>
            <w:r>
              <w:t xml:space="preserve"> </w:t>
            </w:r>
            <w:r w:rsidR="004C5D4E">
              <w:t>is 0.6 kg CO</w:t>
            </w:r>
            <w:r w:rsidR="004C5D4E" w:rsidRPr="00197B5D">
              <w:rPr>
                <w:vertAlign w:val="subscript"/>
              </w:rPr>
              <w:t>2</w:t>
            </w:r>
            <w:r w:rsidR="004C5D4E">
              <w:t>-e</w:t>
            </w:r>
            <w:r w:rsidR="00AF2BA5">
              <w:t>.</w:t>
            </w:r>
          </w:p>
        </w:tc>
      </w:tr>
    </w:tbl>
    <w:p w14:paraId="034D008A" w14:textId="04E04D14" w:rsidR="00FE218C" w:rsidRPr="00AF5318" w:rsidRDefault="00FE218C" w:rsidP="000A4ED9">
      <w:pPr>
        <w:pStyle w:val="Heading4"/>
        <w:spacing w:before="240"/>
      </w:pPr>
      <w:r w:rsidRPr="00AF5318">
        <w:t xml:space="preserve">Emissions </w:t>
      </w:r>
      <w:r w:rsidR="00A02AE7" w:rsidRPr="00AF5318">
        <w:t>approaches</w:t>
      </w:r>
    </w:p>
    <w:p w14:paraId="77B00A0E" w14:textId="1B8776DC" w:rsidR="00801AB7" w:rsidRDefault="00FA0F65" w:rsidP="00FA0F65">
      <w:r>
        <w:t xml:space="preserve">The GO scheme is proposed to </w:t>
      </w:r>
      <w:r w:rsidR="00801AB7">
        <w:t>recognise</w:t>
      </w:r>
      <w:r>
        <w:t xml:space="preserve"> two broad approaches to estimating the transport emissions</w:t>
      </w:r>
      <w:r w:rsidR="00537A02">
        <w:t>;</w:t>
      </w:r>
      <w:r>
        <w:t xml:space="preserve"> the fuel consumption </w:t>
      </w:r>
      <w:r w:rsidR="00404011">
        <w:t>approach</w:t>
      </w:r>
      <w:r>
        <w:t xml:space="preserve"> and the load-distance </w:t>
      </w:r>
      <w:r w:rsidR="00404011">
        <w:t>approach</w:t>
      </w:r>
      <w:r>
        <w:t>.</w:t>
      </w:r>
    </w:p>
    <w:p w14:paraId="196AEF82" w14:textId="36731316" w:rsidR="00801AB7" w:rsidRDefault="00FA0F65" w:rsidP="00FA0F65">
      <w:r>
        <w:t xml:space="preserve">The fuel consumption approach relies on the quantity of fuel consumed multiplied by emissions factors. </w:t>
      </w:r>
      <w:r w:rsidR="00801AB7">
        <w:t>The quantity of fuel can either be estimated using measured fuel consumption or an estimate of fuel consumption based on the fuel efficiency and distance of the journey.</w:t>
      </w:r>
    </w:p>
    <w:p w14:paraId="57984D0F" w14:textId="189BBAAA" w:rsidR="00FA0F65" w:rsidRDefault="00801AB7" w:rsidP="00FA0F65">
      <w:r>
        <w:t>T</w:t>
      </w:r>
      <w:r w:rsidR="00FA0F65">
        <w:t>he load-distance approach effectively uses an emissions factor per kilometre travelled</w:t>
      </w:r>
      <w:r>
        <w:t>. This reduces the need to know exactly the quantity of fuel that is combusted and instead enables emissions to be estimated based on distance.</w:t>
      </w:r>
    </w:p>
    <w:p w14:paraId="620AF84D" w14:textId="2643E9F1" w:rsidR="003E7355" w:rsidRDefault="00B2501C" w:rsidP="003E7355">
      <w:pPr>
        <w:rPr>
          <w:rFonts w:eastAsiaTheme="minorEastAsia"/>
        </w:rPr>
      </w:pPr>
      <w:r>
        <w:rPr>
          <w:rFonts w:eastAsiaTheme="minorEastAsia"/>
        </w:rPr>
        <w:t xml:space="preserve">The </w:t>
      </w:r>
      <w:r w:rsidR="00F400AD">
        <w:rPr>
          <w:rFonts w:eastAsiaTheme="minorEastAsia"/>
        </w:rPr>
        <w:t xml:space="preserve">available </w:t>
      </w:r>
      <w:r>
        <w:rPr>
          <w:rFonts w:eastAsiaTheme="minorEastAsia"/>
        </w:rPr>
        <w:t xml:space="preserve">methods and required information </w:t>
      </w:r>
      <w:r w:rsidR="00F400AD">
        <w:rPr>
          <w:rFonts w:eastAsiaTheme="minorEastAsia"/>
        </w:rPr>
        <w:t xml:space="preserve">for each </w:t>
      </w:r>
      <w:r>
        <w:rPr>
          <w:rFonts w:eastAsiaTheme="minorEastAsia"/>
        </w:rPr>
        <w:t xml:space="preserve">are listed in the table below. </w:t>
      </w:r>
      <w:bookmarkEnd w:id="162"/>
      <w:bookmarkEnd w:id="163"/>
      <w:r w:rsidR="00EE3FD4">
        <w:rPr>
          <w:rFonts w:eastAsiaTheme="minorEastAsia"/>
        </w:rPr>
        <w:t>The</w:t>
      </w:r>
      <w:r w:rsidR="00F400AD">
        <w:rPr>
          <w:rFonts w:eastAsiaTheme="minorEastAsia"/>
        </w:rPr>
        <w:t>se a</w:t>
      </w:r>
      <w:r w:rsidR="00EE3FD4">
        <w:rPr>
          <w:rFonts w:eastAsiaTheme="minorEastAsia"/>
        </w:rPr>
        <w:t xml:space="preserve">re </w:t>
      </w:r>
      <w:r w:rsidR="00F400AD">
        <w:rPr>
          <w:rFonts w:eastAsiaTheme="minorEastAsia"/>
        </w:rPr>
        <w:t>listed in the</w:t>
      </w:r>
      <w:r w:rsidR="00EE3FD4">
        <w:rPr>
          <w:rFonts w:eastAsiaTheme="minorEastAsia"/>
        </w:rPr>
        <w:t xml:space="preserve"> order of preference for these methods, </w:t>
      </w:r>
      <w:r w:rsidR="00790C61">
        <w:rPr>
          <w:rFonts w:eastAsiaTheme="minorEastAsia"/>
        </w:rPr>
        <w:t xml:space="preserve">but these will be defined on the </w:t>
      </w:r>
      <w:r w:rsidR="00BC46F0">
        <w:rPr>
          <w:rFonts w:eastAsiaTheme="minorEastAsia"/>
        </w:rPr>
        <w:t>availability</w:t>
      </w:r>
      <w:r w:rsidR="00790C61">
        <w:rPr>
          <w:rFonts w:eastAsiaTheme="minorEastAsia"/>
        </w:rPr>
        <w:t xml:space="preserve"> of information</w:t>
      </w:r>
      <w:r w:rsidR="00BC46F0">
        <w:rPr>
          <w:rFonts w:eastAsiaTheme="minorEastAsia"/>
        </w:rPr>
        <w:t xml:space="preserve"> for </w:t>
      </w:r>
      <w:r w:rsidR="00EE3FD4">
        <w:rPr>
          <w:rFonts w:eastAsiaTheme="minorEastAsia"/>
        </w:rPr>
        <w:t xml:space="preserve">the transport method. </w:t>
      </w:r>
    </w:p>
    <w:p w14:paraId="0EE48B86" w14:textId="478A0B22" w:rsidR="005832B5" w:rsidRPr="00925360" w:rsidDel="00151042" w:rsidRDefault="005832B5" w:rsidP="000D27CA">
      <w:pPr>
        <w:pStyle w:val="Table"/>
        <w:keepNext/>
        <w:spacing w:before="200"/>
      </w:pPr>
      <w:r>
        <w:t xml:space="preserve">Table </w:t>
      </w:r>
      <w:r w:rsidR="008941FC">
        <w:t>3.4</w:t>
      </w:r>
      <w:r w:rsidR="003018B6">
        <w:t xml:space="preserve"> </w:t>
      </w:r>
      <w:r w:rsidR="00AB549A">
        <w:t xml:space="preserve">Approaches for </w:t>
      </w:r>
      <w:r w:rsidR="00293AD0">
        <w:t>estimating the transport emissions</w:t>
      </w:r>
    </w:p>
    <w:tbl>
      <w:tblPr>
        <w:tblStyle w:val="PlainTable1"/>
        <w:tblW w:w="5000" w:type="pct"/>
        <w:tblLook w:val="04A0" w:firstRow="1" w:lastRow="0" w:firstColumn="1" w:lastColumn="0" w:noHBand="0" w:noVBand="1"/>
      </w:tblPr>
      <w:tblGrid>
        <w:gridCol w:w="3005"/>
        <w:gridCol w:w="3005"/>
        <w:gridCol w:w="3006"/>
      </w:tblGrid>
      <w:tr w:rsidR="00A072D0" w:rsidRPr="005703BE" w14:paraId="09F7A647" w14:textId="77777777" w:rsidTr="006F0C0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6" w:type="pct"/>
            <w:shd w:val="clear" w:color="auto" w:fill="AEAAAA" w:themeFill="background2" w:themeFillShade="BF"/>
            <w:vAlign w:val="center"/>
          </w:tcPr>
          <w:p w14:paraId="41702466" w14:textId="77777777" w:rsidR="00A072D0" w:rsidRPr="005703BE" w:rsidRDefault="00A072D0" w:rsidP="006F0C03">
            <w:pPr>
              <w:rPr>
                <w:rFonts w:eastAsiaTheme="minorEastAsia"/>
              </w:rPr>
            </w:pPr>
            <w:r w:rsidRPr="005703BE">
              <w:rPr>
                <w:rFonts w:eastAsiaTheme="minorEastAsia"/>
              </w:rPr>
              <w:t>Approach</w:t>
            </w:r>
          </w:p>
        </w:tc>
        <w:tc>
          <w:tcPr>
            <w:tcW w:w="1666" w:type="pct"/>
            <w:shd w:val="clear" w:color="auto" w:fill="AEAAAA" w:themeFill="background2" w:themeFillShade="BF"/>
            <w:vAlign w:val="center"/>
          </w:tcPr>
          <w:p w14:paraId="0631260A" w14:textId="77777777" w:rsidR="00A072D0" w:rsidRPr="005703BE" w:rsidRDefault="00A072D0" w:rsidP="006F0C03">
            <w:pPr>
              <w:cnfStyle w:val="100000000000" w:firstRow="1" w:lastRow="0" w:firstColumn="0" w:lastColumn="0" w:oddVBand="0" w:evenVBand="0" w:oddHBand="0" w:evenHBand="0" w:firstRowFirstColumn="0" w:firstRowLastColumn="0" w:lastRowFirstColumn="0" w:lastRowLastColumn="0"/>
              <w:rPr>
                <w:rFonts w:eastAsiaTheme="minorEastAsia"/>
              </w:rPr>
            </w:pPr>
            <w:r w:rsidRPr="005703BE">
              <w:rPr>
                <w:rFonts w:eastAsiaTheme="minorEastAsia"/>
              </w:rPr>
              <w:t>Method</w:t>
            </w:r>
          </w:p>
        </w:tc>
        <w:tc>
          <w:tcPr>
            <w:tcW w:w="1667" w:type="pct"/>
            <w:shd w:val="clear" w:color="auto" w:fill="AEAAAA" w:themeFill="background2" w:themeFillShade="BF"/>
            <w:vAlign w:val="center"/>
          </w:tcPr>
          <w:p w14:paraId="268CFDF7" w14:textId="77777777" w:rsidR="00A072D0" w:rsidRPr="005703BE" w:rsidRDefault="005703BE" w:rsidP="006F0C03">
            <w:pPr>
              <w:cnfStyle w:val="100000000000" w:firstRow="1" w:lastRow="0" w:firstColumn="0" w:lastColumn="0" w:oddVBand="0" w:evenVBand="0" w:oddHBand="0" w:evenHBand="0" w:firstRowFirstColumn="0" w:firstRowLastColumn="0" w:lastRowFirstColumn="0" w:lastRowLastColumn="0"/>
              <w:rPr>
                <w:rFonts w:eastAsiaTheme="minorEastAsia"/>
              </w:rPr>
            </w:pPr>
            <w:r w:rsidRPr="005703BE">
              <w:rPr>
                <w:rFonts w:eastAsiaTheme="minorEastAsia"/>
              </w:rPr>
              <w:t>Applicability</w:t>
            </w:r>
          </w:p>
        </w:tc>
      </w:tr>
      <w:tr w:rsidR="00A072D0" w14:paraId="16FD51AD" w14:textId="77777777" w:rsidTr="006F0C0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7CB2B872" w14:textId="77777777" w:rsidR="00A072D0" w:rsidRDefault="00A072D0" w:rsidP="006F0C03">
            <w:pPr>
              <w:rPr>
                <w:rFonts w:eastAsiaTheme="minorEastAsia"/>
              </w:rPr>
            </w:pPr>
            <w:r>
              <w:rPr>
                <w:rFonts w:eastAsiaTheme="minorEastAsia"/>
              </w:rPr>
              <w:t>Fuel consumption</w:t>
            </w:r>
          </w:p>
        </w:tc>
        <w:tc>
          <w:tcPr>
            <w:tcW w:w="1666" w:type="pct"/>
            <w:vAlign w:val="center"/>
          </w:tcPr>
          <w:p w14:paraId="6F5AF8A1" w14:textId="77777777" w:rsidR="00A072D0" w:rsidRDefault="00A072D0" w:rsidP="006F0C0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Receipts and allocations</w:t>
            </w:r>
          </w:p>
        </w:tc>
        <w:tc>
          <w:tcPr>
            <w:tcW w:w="1667" w:type="pct"/>
            <w:vAlign w:val="center"/>
          </w:tcPr>
          <w:p w14:paraId="10012536" w14:textId="77777777" w:rsidR="00A072D0" w:rsidRDefault="00DE2939" w:rsidP="006F0C0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Mobile transport</w:t>
            </w:r>
          </w:p>
        </w:tc>
      </w:tr>
      <w:tr w:rsidR="00A072D0" w14:paraId="0C325091" w14:textId="77777777" w:rsidTr="006F0C03">
        <w:trPr>
          <w:trHeight w:val="340"/>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0F331126" w14:textId="77777777" w:rsidR="00A072D0" w:rsidRDefault="00A072D0" w:rsidP="006F0C03">
            <w:pPr>
              <w:rPr>
                <w:rFonts w:eastAsiaTheme="minorEastAsia"/>
              </w:rPr>
            </w:pPr>
            <w:r>
              <w:rPr>
                <w:rFonts w:eastAsiaTheme="minorEastAsia"/>
              </w:rPr>
              <w:t>Fuel consumption</w:t>
            </w:r>
          </w:p>
        </w:tc>
        <w:tc>
          <w:tcPr>
            <w:tcW w:w="1666" w:type="pct"/>
            <w:vAlign w:val="center"/>
          </w:tcPr>
          <w:p w14:paraId="3525943B" w14:textId="77777777" w:rsidR="00A072D0" w:rsidRDefault="00A072D0" w:rsidP="006F0C03">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Fuel efficiency and distance</w:t>
            </w:r>
          </w:p>
        </w:tc>
        <w:tc>
          <w:tcPr>
            <w:tcW w:w="1667" w:type="pct"/>
            <w:vAlign w:val="center"/>
          </w:tcPr>
          <w:p w14:paraId="7DB46276" w14:textId="77777777" w:rsidR="00A072D0" w:rsidRDefault="00DE2939" w:rsidP="006F0C03">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Mobile transport</w:t>
            </w:r>
          </w:p>
        </w:tc>
      </w:tr>
      <w:tr w:rsidR="00A072D0" w14:paraId="6F4FBFA4" w14:textId="3EDACF22" w:rsidTr="006F0C0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221F58A3" w14:textId="77777777" w:rsidR="00A072D0" w:rsidRDefault="005703BE" w:rsidP="006F0C03">
            <w:pPr>
              <w:rPr>
                <w:rFonts w:eastAsiaTheme="minorEastAsia"/>
              </w:rPr>
            </w:pPr>
            <w:r>
              <w:rPr>
                <w:rFonts w:eastAsiaTheme="minorEastAsia"/>
              </w:rPr>
              <w:t>Load-distance</w:t>
            </w:r>
          </w:p>
        </w:tc>
        <w:tc>
          <w:tcPr>
            <w:tcW w:w="1666" w:type="pct"/>
            <w:vAlign w:val="center"/>
          </w:tcPr>
          <w:p w14:paraId="27983A69" w14:textId="77777777" w:rsidR="00A072D0" w:rsidRDefault="005703BE" w:rsidP="006F0C0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Fleet or default factor</w:t>
            </w:r>
          </w:p>
        </w:tc>
        <w:tc>
          <w:tcPr>
            <w:tcW w:w="1667" w:type="pct"/>
            <w:vAlign w:val="center"/>
          </w:tcPr>
          <w:p w14:paraId="160595C7" w14:textId="77777777" w:rsidR="00A072D0" w:rsidRDefault="00DE2939" w:rsidP="006F0C0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Mobile transport</w:t>
            </w:r>
          </w:p>
        </w:tc>
      </w:tr>
      <w:tr w:rsidR="00A072D0" w14:paraId="34B8DAD2" w14:textId="77777777" w:rsidTr="006F0C03">
        <w:trPr>
          <w:trHeight w:val="340"/>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6177FA4D" w14:textId="77777777" w:rsidR="00A072D0" w:rsidRDefault="005703BE" w:rsidP="006F0C03">
            <w:pPr>
              <w:rPr>
                <w:rFonts w:eastAsiaTheme="minorEastAsia"/>
              </w:rPr>
            </w:pPr>
            <w:r>
              <w:rPr>
                <w:rFonts w:eastAsiaTheme="minorEastAsia"/>
              </w:rPr>
              <w:t>Load-distance</w:t>
            </w:r>
          </w:p>
        </w:tc>
        <w:tc>
          <w:tcPr>
            <w:tcW w:w="1666" w:type="pct"/>
            <w:vAlign w:val="center"/>
          </w:tcPr>
          <w:p w14:paraId="52CA4266" w14:textId="77777777" w:rsidR="00A072D0" w:rsidRDefault="005703BE" w:rsidP="006F0C03">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Pipeline distance</w:t>
            </w:r>
          </w:p>
        </w:tc>
        <w:tc>
          <w:tcPr>
            <w:tcW w:w="1667" w:type="pct"/>
            <w:vAlign w:val="center"/>
          </w:tcPr>
          <w:p w14:paraId="34622882" w14:textId="77777777" w:rsidR="00A072D0" w:rsidRDefault="005703BE" w:rsidP="006F0C03">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Pipeline</w:t>
            </w:r>
          </w:p>
        </w:tc>
      </w:tr>
    </w:tbl>
    <w:p w14:paraId="58CB16DE" w14:textId="720D8B29" w:rsidR="005407D8" w:rsidRPr="00FA0F65" w:rsidRDefault="00B8540A" w:rsidP="00AF5318">
      <w:pPr>
        <w:spacing w:before="240"/>
      </w:pPr>
      <w:r>
        <w:t xml:space="preserve">The exact reporting rules and mechanisms for each of the above methods such as rules for reporting using fuel receipts and freight system log-books </w:t>
      </w:r>
      <w:r w:rsidR="00E7158C">
        <w:t>will be specified in scheme guidance documents.</w:t>
      </w:r>
    </w:p>
    <w:p w14:paraId="5A07FA42" w14:textId="3C501DB5" w:rsidR="00D62861" w:rsidRPr="00520883" w:rsidRDefault="00FE218C" w:rsidP="00520883">
      <w:pPr>
        <w:keepNext/>
        <w:spacing w:before="240" w:after="120"/>
        <w:rPr>
          <w:b/>
          <w:bCs/>
        </w:rPr>
      </w:pPr>
      <w:r w:rsidRPr="00520883">
        <w:rPr>
          <w:b/>
          <w:bCs/>
        </w:rPr>
        <w:t xml:space="preserve">Fuel consumption </w:t>
      </w:r>
      <w:r w:rsidR="00536891" w:rsidRPr="00520883">
        <w:rPr>
          <w:b/>
          <w:bCs/>
        </w:rPr>
        <w:t>approach</w:t>
      </w:r>
    </w:p>
    <w:p w14:paraId="7246AD69" w14:textId="2A9C2B6B" w:rsidR="004C5D4E" w:rsidRDefault="004C5D4E" w:rsidP="004C5D4E">
      <w:r>
        <w:t xml:space="preserve">There are several proposed methods to calculate transport emissions using the fuel consumption approach. </w:t>
      </w:r>
      <w:r w:rsidR="00B368D6">
        <w:t xml:space="preserve">These </w:t>
      </w:r>
      <w:r w:rsidR="00E7158C">
        <w:t xml:space="preserve">methods </w:t>
      </w:r>
      <w:r w:rsidR="005714CB">
        <w:t xml:space="preserve">all </w:t>
      </w:r>
      <w:r w:rsidR="00B368D6">
        <w:t xml:space="preserve">multiply the quantity of fuel consumed </w:t>
      </w:r>
      <w:r w:rsidR="009D229B">
        <w:t xml:space="preserve">by an emissions factor that covers direct and upstream emissions associated with the fuel. However, the approach to estimating how much fuel has been used by the transport process differs. </w:t>
      </w:r>
    </w:p>
    <w:p w14:paraId="4297C36F" w14:textId="3BB02BEA" w:rsidR="009D229B" w:rsidRPr="009D229B" w:rsidRDefault="009D229B" w:rsidP="00DE2C9E">
      <w:pPr>
        <w:keepNext/>
        <w:rPr>
          <w:i/>
          <w:iCs/>
        </w:rPr>
      </w:pPr>
      <w:r>
        <w:rPr>
          <w:i/>
          <w:iCs/>
        </w:rPr>
        <w:t>Receipts and allocations</w:t>
      </w:r>
    </w:p>
    <w:p w14:paraId="5253CBB4" w14:textId="28D88ADC" w:rsidR="00A2540E" w:rsidRDefault="00C80391" w:rsidP="00C43646">
      <w:pPr>
        <w:spacing w:after="0"/>
      </w:pPr>
      <w:r>
        <w:t xml:space="preserve">The receipts and allocations method is the most direct method </w:t>
      </w:r>
      <w:r w:rsidR="00A74284">
        <w:t>as it relies on direct measurement of the quantity of fuel</w:t>
      </w:r>
      <w:r>
        <w:t>.</w:t>
      </w:r>
      <w:r w:rsidR="00A74284">
        <w:t xml:space="preserve"> The quantity of fuel is estimated either using logbooks or </w:t>
      </w:r>
      <w:r w:rsidR="00A2540E">
        <w:t xml:space="preserve">fuel receipts from the transport service provider. Once the quantity of fuel has been measured, this is multiplied by </w:t>
      </w:r>
      <w:r w:rsidR="001269EE">
        <w:t xml:space="preserve">the </w:t>
      </w:r>
      <w:r w:rsidR="00A2540E">
        <w:t>emissions factor associated with the fuel</w:t>
      </w:r>
      <w:r w:rsidR="004D2EC0">
        <w:t xml:space="preserve"> type</w:t>
      </w:r>
      <w:r w:rsidR="00A2540E">
        <w:t xml:space="preserve">. </w:t>
      </w:r>
      <w:r w:rsidR="006F3E07">
        <w:t xml:space="preserve"> Blended and mixed fuels should be reported independently and added together where appropriate</w:t>
      </w:r>
      <w:r w:rsidR="004D2EC0">
        <w:t>,</w:t>
      </w:r>
      <w:r w:rsidR="006F3E07">
        <w:t xml:space="preserve"> in</w:t>
      </w:r>
      <w:r w:rsidR="004D2EC0">
        <w:t xml:space="preserve"> </w:t>
      </w:r>
      <w:r w:rsidR="006F3E07">
        <w:t>line with the rules for fuel use reporting in NGER. Fuels consumption may include electricity consumption for battery powered trucks and trains.</w:t>
      </w:r>
    </w:p>
    <w:tbl>
      <w:tblPr>
        <w:tblStyle w:val="CERCallout"/>
        <w:tblpPr w:leftFromText="180" w:rightFromText="180" w:vertAnchor="text" w:horzAnchor="margin" w:tblpY="232"/>
        <w:tblW w:w="5000" w:type="pct"/>
        <w:tblLook w:val="0480" w:firstRow="0" w:lastRow="0" w:firstColumn="1" w:lastColumn="0" w:noHBand="0" w:noVBand="1"/>
        <w:tblCaption w:val="test"/>
        <w:tblDescription w:val="tesst"/>
      </w:tblPr>
      <w:tblGrid>
        <w:gridCol w:w="8996"/>
      </w:tblGrid>
      <w:tr w:rsidR="00A2540E" w14:paraId="04167AE2" w14:textId="77777777" w:rsidTr="00F902AA">
        <w:trPr>
          <w:cantSplit w:val="0"/>
        </w:trPr>
        <w:tc>
          <w:tcPr>
            <w:tcW w:w="0" w:type="pct"/>
          </w:tcPr>
          <w:p w14:paraId="73BA9DC4" w14:textId="140A0C47" w:rsidR="00A2540E" w:rsidRPr="00C209F1" w:rsidRDefault="00367AE5" w:rsidP="008A4FA7">
            <w:pPr>
              <w:pStyle w:val="Heading4"/>
              <w:numPr>
                <w:ilvl w:val="0"/>
                <w:numId w:val="0"/>
              </w:numPr>
              <w:spacing w:before="0" w:beforeAutospacing="0" w:after="160"/>
              <w:rPr>
                <w:b/>
                <w:bCs/>
                <w:i w:val="0"/>
                <w:iCs/>
              </w:rPr>
            </w:pPr>
            <w:r>
              <w:rPr>
                <w:b/>
                <w:bCs/>
                <w:i w:val="0"/>
                <w:iCs/>
              </w:rPr>
              <w:t xml:space="preserve">Calculating transport emissions </w:t>
            </w:r>
            <w:r w:rsidR="0080124F">
              <w:rPr>
                <w:b/>
                <w:bCs/>
                <w:i w:val="0"/>
                <w:iCs/>
              </w:rPr>
              <w:t xml:space="preserve">- </w:t>
            </w:r>
            <w:r w:rsidR="00C07099">
              <w:rPr>
                <w:b/>
                <w:bCs/>
                <w:i w:val="0"/>
                <w:iCs/>
              </w:rPr>
              <w:t>fuel consumption</w:t>
            </w:r>
            <w:r w:rsidR="000852C5">
              <w:rPr>
                <w:b/>
                <w:bCs/>
                <w:i w:val="0"/>
                <w:iCs/>
              </w:rPr>
              <w:t>-based</w:t>
            </w:r>
            <w:r w:rsidR="00C07099">
              <w:rPr>
                <w:b/>
                <w:bCs/>
                <w:i w:val="0"/>
                <w:iCs/>
              </w:rPr>
              <w:t xml:space="preserve"> method</w:t>
            </w:r>
            <w:r w:rsidR="00A2540E">
              <w:rPr>
                <w:b/>
                <w:bCs/>
                <w:i w:val="0"/>
                <w:iCs/>
              </w:rPr>
              <w:t xml:space="preserve"> in practice</w:t>
            </w:r>
          </w:p>
          <w:p w14:paraId="59436D0D" w14:textId="6D30A6CF" w:rsidR="00A2540E" w:rsidRDefault="00A2540E" w:rsidP="008A4FA7">
            <w:pPr>
              <w:spacing w:before="0" w:beforeAutospacing="0" w:after="160"/>
            </w:pPr>
            <w:r>
              <w:t xml:space="preserve">Transport company A measures that it consumes </w:t>
            </w:r>
            <w:r w:rsidR="00B40A33">
              <w:t>6.7</w:t>
            </w:r>
            <w:r w:rsidR="006A0194">
              <w:t xml:space="preserve"> litres of petrol in the transport of the registered product. The emissions factor for the petrol consumed is </w:t>
            </w:r>
            <w:r w:rsidR="0026164D">
              <w:t xml:space="preserve">13.9 </w:t>
            </w:r>
            <w:r w:rsidR="008A0085">
              <w:t>kg CO</w:t>
            </w:r>
            <w:r w:rsidR="008A0085" w:rsidRPr="007C7115">
              <w:rPr>
                <w:vertAlign w:val="subscript"/>
              </w:rPr>
              <w:t>2</w:t>
            </w:r>
            <w:r w:rsidR="008A0085">
              <w:t>-e</w:t>
            </w:r>
            <w:r w:rsidR="001F4ABB">
              <w:t>/GJ</w:t>
            </w:r>
            <w:r w:rsidR="0026164D">
              <w:t xml:space="preserve"> for direct emissions and </w:t>
            </w:r>
            <w:r w:rsidR="008A0085">
              <w:t>3.6 kg CO</w:t>
            </w:r>
            <w:r w:rsidR="008A0085" w:rsidRPr="007C7115">
              <w:rPr>
                <w:vertAlign w:val="subscript"/>
              </w:rPr>
              <w:t>2</w:t>
            </w:r>
            <w:r w:rsidR="008A0085">
              <w:t>-e</w:t>
            </w:r>
            <w:r w:rsidR="001F4ABB">
              <w:t>/GJ</w:t>
            </w:r>
            <w:r w:rsidR="008A0085">
              <w:t xml:space="preserve"> for upstream emissions. The conversion factor from litres to gigajoules for petrol is </w:t>
            </w:r>
            <w:r w:rsidR="00C502E6">
              <w:t>0.</w:t>
            </w:r>
            <w:r w:rsidR="00724703">
              <w:t>0388</w:t>
            </w:r>
            <w:r w:rsidR="00501DB9">
              <w:t xml:space="preserve"> GJ/L</w:t>
            </w:r>
            <w:r w:rsidR="00724703">
              <w:t>.</w:t>
            </w:r>
          </w:p>
          <w:p w14:paraId="0ABB6783" w14:textId="51EDB91D" w:rsidR="00A2540E" w:rsidRDefault="00A2540E" w:rsidP="008A4FA7">
            <w:pPr>
              <w:spacing w:before="0" w:beforeAutospacing="0" w:after="160"/>
            </w:pPr>
            <w:r>
              <w:t xml:space="preserve">The proposed </w:t>
            </w:r>
            <w:r w:rsidR="00724703">
              <w:t xml:space="preserve">transport emissions </w:t>
            </w:r>
            <w:r>
              <w:t>calculation is:</w:t>
            </w:r>
          </w:p>
          <w:p w14:paraId="527ED39F" w14:textId="184E4061" w:rsidR="00A2540E" w:rsidRPr="006C36E2" w:rsidRDefault="00785FEC" w:rsidP="008A4FA7">
            <w:pPr>
              <w:spacing w:before="0" w:beforeAutospacing="0" w:after="160"/>
              <w:rPr>
                <w:b/>
                <w:bCs/>
              </w:rPr>
            </w:pPr>
            <m:oMathPara>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transport,  overall</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f</m:t>
                    </m:r>
                  </m:sub>
                </m:sSub>
                <m:r>
                  <m:rPr>
                    <m:sty m:val="bi"/>
                  </m:rPr>
                  <w:rPr>
                    <w:rFonts w:ascii="Cambria Math" w:hAnsi="Cambria Math"/>
                  </w:rPr>
                  <m:t>×CF×</m:t>
                </m:r>
                <m:sSub>
                  <m:sSubPr>
                    <m:ctrlPr>
                      <w:rPr>
                        <w:rFonts w:ascii="Cambria Math" w:hAnsi="Cambria Math"/>
                        <w:b/>
                        <w:bCs/>
                        <w:i/>
                      </w:rPr>
                    </m:ctrlPr>
                  </m:sSubPr>
                  <m:e>
                    <m:r>
                      <m:rPr>
                        <m:sty m:val="bi"/>
                      </m:rPr>
                      <w:rPr>
                        <w:rFonts w:ascii="Cambria Math" w:hAnsi="Cambria Math"/>
                      </w:rPr>
                      <m:t>EF</m:t>
                    </m:r>
                  </m:e>
                  <m:sub>
                    <m:r>
                      <m:rPr>
                        <m:sty m:val="bi"/>
                      </m:rPr>
                      <w:rPr>
                        <w:rFonts w:ascii="Cambria Math" w:hAnsi="Cambria Math"/>
                      </w:rPr>
                      <m:t>i</m:t>
                    </m:r>
                  </m:sub>
                </m:sSub>
              </m:oMath>
            </m:oMathPara>
          </w:p>
          <w:p w14:paraId="66895C17" w14:textId="77777777" w:rsidR="00A2540E" w:rsidRDefault="00A2540E" w:rsidP="008A4FA7">
            <w:pPr>
              <w:spacing w:before="0" w:beforeAutospacing="0" w:after="160"/>
            </w:pPr>
            <w:r>
              <w:t>Where:</w:t>
            </w:r>
          </w:p>
          <w:p w14:paraId="3E9EDCAF" w14:textId="76E1076E" w:rsidR="00A2540E" w:rsidRDefault="00785FEC" w:rsidP="004B0F45">
            <w:pPr>
              <w:spacing w:before="0" w:beforeAutospacing="0" w:after="160"/>
              <w:ind w:left="251"/>
            </w:pPr>
            <m:oMath>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f</m:t>
                  </m:r>
                </m:sub>
              </m:sSub>
            </m:oMath>
            <w:r w:rsidR="00A2540E">
              <w:t xml:space="preserve">is the </w:t>
            </w:r>
            <w:r w:rsidR="00716671">
              <w:t>quantity of fuel consumed in the transport process</w:t>
            </w:r>
            <w:r w:rsidR="00A2540E">
              <w:t>.</w:t>
            </w:r>
          </w:p>
          <w:p w14:paraId="777B2A20" w14:textId="0669AF40" w:rsidR="00716671" w:rsidRDefault="006C36E2" w:rsidP="004B0F45">
            <w:pPr>
              <w:spacing w:before="0" w:beforeAutospacing="0" w:after="160"/>
              <w:ind w:left="251"/>
            </w:pPr>
            <m:oMath>
              <m:r>
                <m:rPr>
                  <m:sty m:val="bi"/>
                </m:rPr>
                <w:rPr>
                  <w:rFonts w:ascii="Cambria Math" w:hAnsi="Cambria Math"/>
                </w:rPr>
                <m:t>CF</m:t>
              </m:r>
            </m:oMath>
            <w:r w:rsidR="00716671">
              <w:t xml:space="preserve"> is the conversion factor to ensure the functional unit for the fuel is consistent with the emissions factor. Where the functional unit is already appropriate, this value is 1.</w:t>
            </w:r>
          </w:p>
          <w:p w14:paraId="01FB1CE5" w14:textId="1AFD3584" w:rsidR="00716671" w:rsidRDefault="00785FEC" w:rsidP="004B0F45">
            <w:pPr>
              <w:spacing w:before="0" w:beforeAutospacing="0" w:after="160"/>
              <w:ind w:left="251"/>
            </w:pPr>
            <m:oMath>
              <m:sSub>
                <m:sSubPr>
                  <m:ctrlPr>
                    <w:rPr>
                      <w:rFonts w:ascii="Cambria Math" w:hAnsi="Cambria Math"/>
                      <w:b/>
                      <w:bCs/>
                      <w:i/>
                    </w:rPr>
                  </m:ctrlPr>
                </m:sSubPr>
                <m:e>
                  <m:r>
                    <m:rPr>
                      <m:sty m:val="bi"/>
                    </m:rPr>
                    <w:rPr>
                      <w:rFonts w:ascii="Cambria Math" w:hAnsi="Cambria Math"/>
                    </w:rPr>
                    <m:t>EF</m:t>
                  </m:r>
                </m:e>
                <m:sub>
                  <m:r>
                    <m:rPr>
                      <m:sty m:val="bi"/>
                    </m:rPr>
                    <w:rPr>
                      <w:rFonts w:ascii="Cambria Math" w:hAnsi="Cambria Math"/>
                    </w:rPr>
                    <m:t>i</m:t>
                  </m:r>
                </m:sub>
              </m:sSub>
            </m:oMath>
            <w:r w:rsidR="00716671">
              <w:t xml:space="preserve"> is the </w:t>
            </w:r>
            <w:r w:rsidR="00DE019C">
              <w:t xml:space="preserve">combined </w:t>
            </w:r>
            <w:r w:rsidR="00716671">
              <w:t xml:space="preserve">scope 1 and scope 3 emissions factor associated with fuel type </w:t>
            </w:r>
            <w:proofErr w:type="spellStart"/>
            <w:r w:rsidR="00716671">
              <w:t>i</w:t>
            </w:r>
            <w:proofErr w:type="spellEnd"/>
            <w:r w:rsidR="00716671">
              <w:t>.</w:t>
            </w:r>
            <w:r w:rsidR="00BC0559">
              <w:t xml:space="preserve"> It must be sourced in accordance with </w:t>
            </w:r>
            <w:r w:rsidR="00D56CD7">
              <w:rPr>
                <w:highlight w:val="yellow"/>
              </w:rPr>
              <w:fldChar w:fldCharType="begin"/>
            </w:r>
            <w:r w:rsidR="00D56CD7">
              <w:instrText xml:space="preserve"> REF _Ref137634570 \r \h </w:instrText>
            </w:r>
            <w:r w:rsidR="00D56CD7">
              <w:rPr>
                <w:highlight w:val="yellow"/>
              </w:rPr>
            </w:r>
            <w:r w:rsidR="00D56CD7">
              <w:rPr>
                <w:highlight w:val="yellow"/>
              </w:rPr>
              <w:fldChar w:fldCharType="separate"/>
            </w:r>
            <w:r>
              <w:t>Section 4.2</w:t>
            </w:r>
            <w:r w:rsidR="00D56CD7">
              <w:rPr>
                <w:highlight w:val="yellow"/>
              </w:rPr>
              <w:fldChar w:fldCharType="end"/>
            </w:r>
            <w:r w:rsidR="00BC0559">
              <w:t>.</w:t>
            </w:r>
          </w:p>
          <w:p w14:paraId="5DB186E2" w14:textId="77777777" w:rsidR="00A2540E" w:rsidRDefault="00A2540E" w:rsidP="004B0F45">
            <w:pPr>
              <w:spacing w:before="0" w:beforeAutospacing="0" w:after="160"/>
              <w:ind w:left="251"/>
            </w:pPr>
            <w:r>
              <w:t>Substituting the values from the above example into this equation produces the result:</w:t>
            </w:r>
          </w:p>
          <w:p w14:paraId="7E907752" w14:textId="1D9BFC81" w:rsidR="00A2540E" w:rsidRPr="006C36E2" w:rsidRDefault="006C36E2" w:rsidP="008A4FA7">
            <w:pPr>
              <w:spacing w:before="0" w:beforeAutospacing="0" w:after="160"/>
              <w:rPr>
                <w:b/>
                <w:bCs/>
              </w:rPr>
            </w:pPr>
            <m:oMathPara>
              <m:oMath>
                <m:r>
                  <m:rPr>
                    <m:sty m:val="bi"/>
                  </m:rPr>
                  <w:rPr>
                    <w:rFonts w:ascii="Cambria Math" w:hAnsi="Cambria Math"/>
                  </w:rPr>
                  <m:t>4.55=6.7×0.0388×(13.9+3.6)</m:t>
                </m:r>
              </m:oMath>
            </m:oMathPara>
          </w:p>
          <w:p w14:paraId="073E8239" w14:textId="7DDF34A1" w:rsidR="00A2540E" w:rsidRPr="00C94E01" w:rsidRDefault="00A2540E" w:rsidP="004B0F45">
            <w:pPr>
              <w:spacing w:before="0" w:beforeAutospacing="0" w:after="160"/>
              <w:ind w:left="251"/>
            </w:pPr>
            <w:r>
              <w:t xml:space="preserve">The </w:t>
            </w:r>
            <w:r w:rsidR="000433CB">
              <w:t xml:space="preserve">overall transport emissions attributable to the transport process </w:t>
            </w:r>
            <w:r w:rsidR="008F0C92">
              <w:t xml:space="preserve">using this method </w:t>
            </w:r>
            <w:r w:rsidR="000433CB">
              <w:t xml:space="preserve">is </w:t>
            </w:r>
            <w:r w:rsidR="00B40A33" w:rsidDel="0052437F">
              <w:t>4.</w:t>
            </w:r>
            <w:r w:rsidR="0052437F">
              <w:t>55</w:t>
            </w:r>
            <w:r w:rsidR="00B40A33">
              <w:t xml:space="preserve"> </w:t>
            </w:r>
            <w:r>
              <w:t>kg CO</w:t>
            </w:r>
            <w:r w:rsidRPr="007C7115">
              <w:rPr>
                <w:vertAlign w:val="subscript"/>
              </w:rPr>
              <w:t>2</w:t>
            </w:r>
            <w:r>
              <w:t>-e.</w:t>
            </w:r>
          </w:p>
        </w:tc>
      </w:tr>
    </w:tbl>
    <w:p w14:paraId="0814E594" w14:textId="3DDE45E3" w:rsidR="009D229B" w:rsidRPr="009D229B" w:rsidRDefault="009D229B" w:rsidP="00AF5318">
      <w:pPr>
        <w:spacing w:before="240"/>
        <w:rPr>
          <w:i/>
          <w:iCs/>
        </w:rPr>
      </w:pPr>
      <w:r>
        <w:rPr>
          <w:i/>
          <w:iCs/>
        </w:rPr>
        <w:t>Fuel efficiency and distance</w:t>
      </w:r>
    </w:p>
    <w:p w14:paraId="6A0273E9" w14:textId="1220D1BB" w:rsidR="007D433E" w:rsidRDefault="00DE2224" w:rsidP="004C5D4E">
      <w:r>
        <w:t>The fuel efficiency and distance method is very similar to the previous method</w:t>
      </w:r>
      <w:r w:rsidR="0003000A">
        <w:t>. H</w:t>
      </w:r>
      <w:r>
        <w:t>owever</w:t>
      </w:r>
      <w:r w:rsidR="0003000A">
        <w:t>,</w:t>
      </w:r>
      <w:r>
        <w:t xml:space="preserve"> the quantity of fuel consumed is estimated by multiplying the fuel efficiency of the vehicle by the </w:t>
      </w:r>
      <w:r w:rsidR="00176B3F">
        <w:t xml:space="preserve">round trip </w:t>
      </w:r>
      <w:r>
        <w:t>distance</w:t>
      </w:r>
      <w:r w:rsidR="00197E59">
        <w:t xml:space="preserve"> travelled</w:t>
      </w:r>
      <w:r w:rsidR="00AC087D">
        <w:t xml:space="preserve"> (</w:t>
      </w:r>
      <w:r w:rsidR="00176B3F">
        <w:t>full and empty)</w:t>
      </w:r>
      <w:r w:rsidR="00197E59">
        <w:t xml:space="preserve">. </w:t>
      </w:r>
      <w:r w:rsidR="00C07099">
        <w:t>Once the quantity of fuel has been estimated, it is then multiplied by the</w:t>
      </w:r>
      <w:r w:rsidR="001269EE">
        <w:t xml:space="preserve"> </w:t>
      </w:r>
      <w:r w:rsidR="00C07099">
        <w:t xml:space="preserve">emissions factor for the </w:t>
      </w:r>
      <w:r w:rsidR="004D2EC0">
        <w:t xml:space="preserve">type </w:t>
      </w:r>
      <w:r w:rsidR="00C07099">
        <w:t>of fuel</w:t>
      </w:r>
      <w:r w:rsidR="007F7784">
        <w:t xml:space="preserve">. </w:t>
      </w:r>
      <w:r w:rsidR="001269EE" w:rsidRPr="001F2F2D">
        <w:rPr>
          <w:rFonts w:eastAsiaTheme="minorEastAsia"/>
        </w:rPr>
        <w:t>Where specific vehicle information is not available, relevant fleet-wide estimates may be used to estimate the fuel consumption averages.</w:t>
      </w:r>
    </w:p>
    <w:p w14:paraId="09E7BFB9" w14:textId="7629A1F7" w:rsidR="00C07099" w:rsidRDefault="007F7784" w:rsidP="00C43646">
      <w:pPr>
        <w:spacing w:after="0"/>
      </w:pPr>
      <w:r>
        <w:t xml:space="preserve">Guidance for measuring fuel efficiency of vehicles and distance travelled is provided in </w:t>
      </w:r>
      <w:r w:rsidR="00D94DC6">
        <w:fldChar w:fldCharType="begin"/>
      </w:r>
      <w:r w:rsidR="00D94DC6">
        <w:instrText xml:space="preserve"> REF _Ref130561849 \r \h </w:instrText>
      </w:r>
      <w:r w:rsidR="00D94DC6">
        <w:fldChar w:fldCharType="separate"/>
      </w:r>
      <w:r w:rsidR="00785FEC">
        <w:t>Part 4</w:t>
      </w:r>
      <w:r w:rsidR="00D94DC6">
        <w:fldChar w:fldCharType="end"/>
      </w:r>
      <w:r>
        <w:t xml:space="preserve"> of this paper.</w:t>
      </w:r>
    </w:p>
    <w:p w14:paraId="0A58CDA5" w14:textId="77777777" w:rsidR="00566CD7" w:rsidRDefault="00566CD7">
      <w:r>
        <w:rPr>
          <w:i/>
        </w:rPr>
        <w:br w:type="page"/>
      </w:r>
    </w:p>
    <w:tbl>
      <w:tblPr>
        <w:tblStyle w:val="CERCallout"/>
        <w:tblpPr w:leftFromText="180" w:rightFromText="180" w:vertAnchor="text" w:horzAnchor="margin" w:tblpY="232"/>
        <w:tblW w:w="5000" w:type="pct"/>
        <w:tblLook w:val="0480" w:firstRow="0" w:lastRow="0" w:firstColumn="1" w:lastColumn="0" w:noHBand="0" w:noVBand="1"/>
        <w:tblCaption w:val="test"/>
        <w:tblDescription w:val="tesst"/>
      </w:tblPr>
      <w:tblGrid>
        <w:gridCol w:w="8996"/>
      </w:tblGrid>
      <w:tr w:rsidR="00C07099" w14:paraId="6EEDC33E" w14:textId="77777777" w:rsidTr="00566CD7">
        <w:trPr>
          <w:cantSplit w:val="0"/>
        </w:trPr>
        <w:tc>
          <w:tcPr>
            <w:tcW w:w="5000" w:type="pct"/>
          </w:tcPr>
          <w:p w14:paraId="273939C1" w14:textId="53554C31" w:rsidR="00C07099" w:rsidRPr="00C209F1" w:rsidRDefault="00647904" w:rsidP="008A4FA7">
            <w:pPr>
              <w:pStyle w:val="Heading4"/>
              <w:numPr>
                <w:ilvl w:val="0"/>
                <w:numId w:val="0"/>
              </w:numPr>
              <w:spacing w:before="0" w:beforeAutospacing="0" w:after="160"/>
              <w:rPr>
                <w:b/>
                <w:bCs/>
                <w:i w:val="0"/>
                <w:iCs/>
              </w:rPr>
            </w:pPr>
            <w:r>
              <w:rPr>
                <w:b/>
                <w:bCs/>
                <w:i w:val="0"/>
                <w:iCs/>
              </w:rPr>
              <w:t xml:space="preserve">Calculating transport emissions - </w:t>
            </w:r>
            <w:r w:rsidR="0059212F">
              <w:rPr>
                <w:b/>
                <w:bCs/>
                <w:i w:val="0"/>
                <w:iCs/>
              </w:rPr>
              <w:t>f</w:t>
            </w:r>
            <w:r w:rsidR="002C61F7">
              <w:rPr>
                <w:b/>
                <w:bCs/>
                <w:i w:val="0"/>
                <w:iCs/>
              </w:rPr>
              <w:t xml:space="preserve">uel efficiency and </w:t>
            </w:r>
            <w:r w:rsidR="002F7FAF">
              <w:rPr>
                <w:b/>
                <w:bCs/>
                <w:i w:val="0"/>
                <w:iCs/>
              </w:rPr>
              <w:t xml:space="preserve">transport </w:t>
            </w:r>
            <w:r w:rsidR="002C61F7">
              <w:rPr>
                <w:b/>
                <w:bCs/>
                <w:i w:val="0"/>
                <w:iCs/>
              </w:rPr>
              <w:t>distance</w:t>
            </w:r>
            <w:r w:rsidR="00517936">
              <w:rPr>
                <w:b/>
                <w:bCs/>
                <w:i w:val="0"/>
                <w:iCs/>
              </w:rPr>
              <w:t>-based</w:t>
            </w:r>
            <w:r w:rsidR="00C07099" w:rsidDel="00517936">
              <w:rPr>
                <w:b/>
                <w:bCs/>
                <w:i w:val="0"/>
                <w:iCs/>
              </w:rPr>
              <w:t xml:space="preserve"> </w:t>
            </w:r>
            <w:r w:rsidR="00C07099">
              <w:rPr>
                <w:b/>
                <w:bCs/>
                <w:i w:val="0"/>
                <w:iCs/>
              </w:rPr>
              <w:t>method in practice</w:t>
            </w:r>
          </w:p>
          <w:p w14:paraId="59696692" w14:textId="5ACB9ACD" w:rsidR="00C07099" w:rsidRDefault="00C07099" w:rsidP="008A4FA7">
            <w:pPr>
              <w:spacing w:before="0" w:beforeAutospacing="0" w:after="160"/>
            </w:pPr>
            <w:r>
              <w:t xml:space="preserve">Transport company A uses a vehicle with a fuel efficiency of </w:t>
            </w:r>
            <w:r w:rsidR="00C6617B">
              <w:t>0.</w:t>
            </w:r>
            <w:r w:rsidR="009B7573">
              <w:t xml:space="preserve">268 litres of petrol per </w:t>
            </w:r>
            <w:r w:rsidR="00C6617B">
              <w:t xml:space="preserve">kilometre to transport a registered product 25 kilometres. </w:t>
            </w:r>
            <w:r>
              <w:t>The emissions factor for the petrol consumed is 13.9 kg CO</w:t>
            </w:r>
            <w:r w:rsidRPr="009F7FA5">
              <w:rPr>
                <w:vertAlign w:val="subscript"/>
              </w:rPr>
              <w:t>2</w:t>
            </w:r>
            <w:r>
              <w:t>-e</w:t>
            </w:r>
            <w:r w:rsidR="004F6962">
              <w:t>/GJ</w:t>
            </w:r>
            <w:r w:rsidDel="004F6962">
              <w:t xml:space="preserve"> </w:t>
            </w:r>
            <w:r>
              <w:t>for direct emissions and 3.6 kg CO</w:t>
            </w:r>
            <w:r w:rsidRPr="009F7FA5">
              <w:rPr>
                <w:vertAlign w:val="subscript"/>
              </w:rPr>
              <w:t>2</w:t>
            </w:r>
            <w:r>
              <w:t>-e</w:t>
            </w:r>
            <w:r w:rsidR="006D205D">
              <w:t>/GJ</w:t>
            </w:r>
            <w:r w:rsidDel="006D205D">
              <w:t xml:space="preserve"> </w:t>
            </w:r>
            <w:r>
              <w:t>for upstream emissions. The conversion factor from litres to gigajoules for petrol is 0.0388</w:t>
            </w:r>
            <w:r w:rsidR="002643F9">
              <w:t xml:space="preserve"> GJ/L</w:t>
            </w:r>
            <w:r>
              <w:t>.</w:t>
            </w:r>
          </w:p>
          <w:p w14:paraId="3B90D77D" w14:textId="77777777" w:rsidR="00C07099" w:rsidRDefault="00C07099" w:rsidP="008A4FA7">
            <w:pPr>
              <w:spacing w:before="0" w:beforeAutospacing="0" w:after="160"/>
            </w:pPr>
            <w:r>
              <w:t>The proposed transport emissions calculation is:</w:t>
            </w:r>
          </w:p>
          <w:p w14:paraId="3EA7B831" w14:textId="105122F9" w:rsidR="00C07099" w:rsidRPr="006C36E2" w:rsidRDefault="00785FEC" w:rsidP="008A4FA7">
            <w:pPr>
              <w:spacing w:before="0" w:beforeAutospacing="0" w:after="160"/>
              <w:rPr>
                <w:b/>
                <w:bCs/>
              </w:rPr>
            </w:pPr>
            <m:oMathPara>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transport,  overall</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FE</m:t>
                    </m:r>
                  </m:e>
                  <m:sub>
                    <m:r>
                      <m:rPr>
                        <m:sty m:val="bi"/>
                      </m:rPr>
                      <w:rPr>
                        <w:rFonts w:ascii="Cambria Math" w:hAnsi="Cambria Math"/>
                      </w:rPr>
                      <m:t>i</m:t>
                    </m:r>
                  </m:sub>
                </m:sSub>
                <m:r>
                  <m:rPr>
                    <m:sty m:val="bi"/>
                  </m:rPr>
                  <w:rPr>
                    <w:rFonts w:ascii="Cambria Math" w:hAnsi="Cambria Math"/>
                  </w:rPr>
                  <m:t>×D×CF×</m:t>
                </m:r>
                <m:sSub>
                  <m:sSubPr>
                    <m:ctrlPr>
                      <w:rPr>
                        <w:rFonts w:ascii="Cambria Math" w:hAnsi="Cambria Math"/>
                        <w:b/>
                        <w:bCs/>
                        <w:i/>
                      </w:rPr>
                    </m:ctrlPr>
                  </m:sSubPr>
                  <m:e>
                    <m:r>
                      <m:rPr>
                        <m:sty m:val="bi"/>
                      </m:rPr>
                      <w:rPr>
                        <w:rFonts w:ascii="Cambria Math" w:hAnsi="Cambria Math"/>
                      </w:rPr>
                      <m:t>EF</m:t>
                    </m:r>
                  </m:e>
                  <m:sub>
                    <m:r>
                      <m:rPr>
                        <m:sty m:val="bi"/>
                      </m:rPr>
                      <w:rPr>
                        <w:rFonts w:ascii="Cambria Math" w:hAnsi="Cambria Math"/>
                      </w:rPr>
                      <m:t>i</m:t>
                    </m:r>
                  </m:sub>
                </m:sSub>
              </m:oMath>
            </m:oMathPara>
          </w:p>
          <w:p w14:paraId="43520B37" w14:textId="77777777" w:rsidR="00C07099" w:rsidRDefault="00C07099" w:rsidP="008A4FA7">
            <w:pPr>
              <w:spacing w:before="0" w:beforeAutospacing="0" w:after="160"/>
            </w:pPr>
            <w:r>
              <w:t>Where:</w:t>
            </w:r>
          </w:p>
          <w:p w14:paraId="3D850789" w14:textId="293818B3" w:rsidR="00C07099" w:rsidRDefault="00785FEC" w:rsidP="004B0F45">
            <w:pPr>
              <w:spacing w:before="0" w:beforeAutospacing="0" w:after="160"/>
              <w:ind w:left="251"/>
            </w:pPr>
            <m:oMath>
              <m:sSub>
                <m:sSubPr>
                  <m:ctrlPr>
                    <w:rPr>
                      <w:rFonts w:ascii="Cambria Math" w:hAnsi="Cambria Math"/>
                      <w:b/>
                      <w:bCs/>
                      <w:i/>
                    </w:rPr>
                  </m:ctrlPr>
                </m:sSubPr>
                <m:e>
                  <m:r>
                    <m:rPr>
                      <m:sty m:val="bi"/>
                    </m:rPr>
                    <w:rPr>
                      <w:rFonts w:ascii="Cambria Math" w:hAnsi="Cambria Math"/>
                    </w:rPr>
                    <m:t>FE</m:t>
                  </m:r>
                </m:e>
                <m:sub>
                  <m:r>
                    <m:rPr>
                      <m:sty m:val="bi"/>
                    </m:rPr>
                    <w:rPr>
                      <w:rFonts w:ascii="Cambria Math" w:hAnsi="Cambria Math"/>
                    </w:rPr>
                    <m:t>i</m:t>
                  </m:r>
                </m:sub>
              </m:sSub>
            </m:oMath>
            <w:r w:rsidR="0090422C">
              <w:t xml:space="preserve"> is the fuel </w:t>
            </w:r>
            <w:r w:rsidR="001D461B">
              <w:t>efficiency</w:t>
            </w:r>
            <w:r w:rsidR="0090422C">
              <w:t xml:space="preserve"> of the vehicle used to transport the registered product, while</w:t>
            </w:r>
            <w:r w:rsidR="00774F97">
              <w:t xml:space="preserve"> </w:t>
            </w:r>
            <m:oMath>
              <m:r>
                <m:rPr>
                  <m:sty m:val="bi"/>
                </m:rPr>
                <w:rPr>
                  <w:rFonts w:ascii="Cambria Math" w:hAnsi="Cambria Math"/>
                </w:rPr>
                <m:t>D</m:t>
              </m:r>
            </m:oMath>
            <w:r w:rsidR="0090422C">
              <w:t xml:space="preserve"> </w:t>
            </w:r>
            <w:r w:rsidR="00C07099">
              <w:t xml:space="preserve">is the </w:t>
            </w:r>
            <w:r w:rsidR="00774F97">
              <w:t xml:space="preserve">distance in kilometres that the registered product was transported. </w:t>
            </w:r>
            <m:oMath>
              <m:d>
                <m:dPr>
                  <m:ctrlPr>
                    <w:rPr>
                      <w:rFonts w:ascii="Cambria Math" w:hAnsi="Cambria Math"/>
                      <w:i/>
                    </w:rPr>
                  </m:ctrlPr>
                </m:dPr>
                <m:e>
                  <m:sSub>
                    <m:sSubPr>
                      <m:ctrlPr>
                        <w:rPr>
                          <w:rFonts w:ascii="Cambria Math" w:hAnsi="Cambria Math"/>
                          <w:i/>
                        </w:rPr>
                      </m:ctrlPr>
                    </m:sSubPr>
                    <m:e>
                      <m:r>
                        <w:rPr>
                          <w:rFonts w:ascii="Cambria Math" w:hAnsi="Cambria Math"/>
                        </w:rPr>
                        <m:t>FE</m:t>
                      </m:r>
                    </m:e>
                    <m:sub>
                      <m:r>
                        <w:rPr>
                          <w:rFonts w:ascii="Cambria Math" w:hAnsi="Cambria Math"/>
                        </w:rPr>
                        <m:t>i</m:t>
                      </m:r>
                    </m:sub>
                  </m:sSub>
                  <m:r>
                    <w:rPr>
                      <w:rFonts w:ascii="Cambria Math" w:hAnsi="Cambria Math"/>
                    </w:rPr>
                    <m:t>×D</m:t>
                  </m:r>
                </m:e>
              </m:d>
            </m:oMath>
            <w:r w:rsidR="00774F97">
              <w:t xml:space="preserve"> replaces the </w:t>
            </w:r>
            <m:oMath>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f</m:t>
                  </m:r>
                </m:sub>
              </m:sSub>
            </m:oMath>
            <w:r w:rsidR="00774F97">
              <w:t>value from the previous receipts example.</w:t>
            </w:r>
          </w:p>
          <w:p w14:paraId="337EE258" w14:textId="2EDF679B" w:rsidR="00C07099" w:rsidRDefault="006C36E2" w:rsidP="004B0F45">
            <w:pPr>
              <w:spacing w:before="0" w:beforeAutospacing="0" w:after="160"/>
              <w:ind w:left="251"/>
            </w:pPr>
            <m:oMath>
              <m:r>
                <m:rPr>
                  <m:sty m:val="bi"/>
                </m:rPr>
                <w:rPr>
                  <w:rFonts w:ascii="Cambria Math" w:hAnsi="Cambria Math"/>
                </w:rPr>
                <m:t>CF</m:t>
              </m:r>
            </m:oMath>
            <w:r w:rsidR="00C07099">
              <w:t xml:space="preserve"> is the conversion factor to ensure the functional unit for the fuel is consistent with the emissions factor. Where the functional unit is already appropriate, this value is 1.</w:t>
            </w:r>
          </w:p>
          <w:p w14:paraId="25BE2010" w14:textId="06830ECE" w:rsidR="00C07099" w:rsidRDefault="00785FEC" w:rsidP="004B0F45">
            <w:pPr>
              <w:spacing w:before="0" w:beforeAutospacing="0" w:after="160"/>
              <w:ind w:left="251"/>
            </w:pPr>
            <m:oMath>
              <m:sSub>
                <m:sSubPr>
                  <m:ctrlPr>
                    <w:rPr>
                      <w:rFonts w:ascii="Cambria Math" w:hAnsi="Cambria Math"/>
                      <w:b/>
                      <w:bCs/>
                      <w:i/>
                    </w:rPr>
                  </m:ctrlPr>
                </m:sSubPr>
                <m:e>
                  <m:r>
                    <m:rPr>
                      <m:sty m:val="bi"/>
                    </m:rPr>
                    <w:rPr>
                      <w:rFonts w:ascii="Cambria Math" w:hAnsi="Cambria Math"/>
                    </w:rPr>
                    <m:t>EF</m:t>
                  </m:r>
                </m:e>
                <m:sub>
                  <m:r>
                    <m:rPr>
                      <m:sty m:val="bi"/>
                    </m:rPr>
                    <w:rPr>
                      <w:rFonts w:ascii="Cambria Math" w:hAnsi="Cambria Math"/>
                    </w:rPr>
                    <m:t>i</m:t>
                  </m:r>
                </m:sub>
              </m:sSub>
            </m:oMath>
            <w:r w:rsidR="00C07099">
              <w:t xml:space="preserve"> is the combined scope 1 and scope 3 emissions factor associated with fuel type i. It must be sourced in </w:t>
            </w:r>
            <w:r w:rsidR="001D461B">
              <w:t>accordance</w:t>
            </w:r>
            <w:r w:rsidR="00C07099">
              <w:t xml:space="preserve"> with </w:t>
            </w:r>
            <w:r w:rsidR="00D56CD7">
              <w:rPr>
                <w:highlight w:val="yellow"/>
              </w:rPr>
              <w:fldChar w:fldCharType="begin"/>
            </w:r>
            <w:r w:rsidR="00D56CD7">
              <w:instrText xml:space="preserve"> REF _Ref137634581 \r \h </w:instrText>
            </w:r>
            <w:r w:rsidR="00D56CD7">
              <w:rPr>
                <w:highlight w:val="yellow"/>
              </w:rPr>
            </w:r>
            <w:r w:rsidR="00D56CD7">
              <w:rPr>
                <w:highlight w:val="yellow"/>
              </w:rPr>
              <w:fldChar w:fldCharType="separate"/>
            </w:r>
            <w:r>
              <w:t>Section 4.2</w:t>
            </w:r>
            <w:r w:rsidR="00D56CD7">
              <w:rPr>
                <w:highlight w:val="yellow"/>
              </w:rPr>
              <w:fldChar w:fldCharType="end"/>
            </w:r>
            <w:r w:rsidR="00C07099">
              <w:t>.</w:t>
            </w:r>
          </w:p>
          <w:p w14:paraId="09E0D457" w14:textId="77777777" w:rsidR="00C07099" w:rsidRDefault="00C07099" w:rsidP="004B0F45">
            <w:pPr>
              <w:spacing w:before="0" w:beforeAutospacing="0" w:after="160"/>
              <w:ind w:left="251"/>
            </w:pPr>
            <w:r>
              <w:t>Substituting the values from the above example into this equation produces the result:</w:t>
            </w:r>
          </w:p>
          <w:p w14:paraId="113ECEDF" w14:textId="37A4B4F8" w:rsidR="00C07099" w:rsidRPr="006C36E2" w:rsidRDefault="006C36E2" w:rsidP="008A4FA7">
            <w:pPr>
              <w:spacing w:before="0" w:beforeAutospacing="0" w:after="160"/>
              <w:rPr>
                <w:b/>
                <w:bCs/>
              </w:rPr>
            </w:pPr>
            <m:oMathPara>
              <m:oMath>
                <m:r>
                  <m:rPr>
                    <m:sty m:val="bi"/>
                  </m:rPr>
                  <w:rPr>
                    <w:rFonts w:ascii="Cambria Math" w:hAnsi="Cambria Math"/>
                  </w:rPr>
                  <m:t>4.55=0.268×25×0.0388×(13.9+3.6)</m:t>
                </m:r>
              </m:oMath>
            </m:oMathPara>
          </w:p>
          <w:p w14:paraId="3192FC82" w14:textId="2D016160" w:rsidR="00C07099" w:rsidRPr="00C94E01" w:rsidRDefault="00C07099" w:rsidP="004B0F45">
            <w:pPr>
              <w:spacing w:before="0" w:beforeAutospacing="0" w:after="160"/>
              <w:ind w:left="251"/>
            </w:pPr>
            <w:r>
              <w:t xml:space="preserve">The overall transport emissions attributable to the transport process </w:t>
            </w:r>
            <w:r w:rsidR="00DC54EF">
              <w:t xml:space="preserve">using this method </w:t>
            </w:r>
            <w:r>
              <w:t xml:space="preserve">is </w:t>
            </w:r>
            <w:r w:rsidR="00B40A33" w:rsidDel="00B469EA">
              <w:t>4.</w:t>
            </w:r>
            <w:r w:rsidR="00B469EA">
              <w:t>55</w:t>
            </w:r>
            <w:r>
              <w:t xml:space="preserve"> kg CO</w:t>
            </w:r>
            <w:r w:rsidRPr="009F7FA5">
              <w:rPr>
                <w:vertAlign w:val="subscript"/>
              </w:rPr>
              <w:t>2</w:t>
            </w:r>
            <w:r>
              <w:t>-e.</w:t>
            </w:r>
          </w:p>
        </w:tc>
      </w:tr>
    </w:tbl>
    <w:p w14:paraId="3D221844" w14:textId="03FB01DD" w:rsidR="00FE218C" w:rsidRPr="00520883" w:rsidRDefault="00FE218C" w:rsidP="00520883">
      <w:pPr>
        <w:keepNext/>
        <w:spacing w:before="240" w:after="120"/>
        <w:rPr>
          <w:b/>
          <w:bCs/>
        </w:rPr>
      </w:pPr>
      <w:r w:rsidRPr="00520883">
        <w:rPr>
          <w:b/>
          <w:bCs/>
        </w:rPr>
        <w:t xml:space="preserve">Load-distance </w:t>
      </w:r>
      <w:r w:rsidR="00373105" w:rsidRPr="00520883">
        <w:rPr>
          <w:b/>
          <w:bCs/>
        </w:rPr>
        <w:t>approach</w:t>
      </w:r>
    </w:p>
    <w:p w14:paraId="4DAED6B1" w14:textId="38B39296" w:rsidR="00FB49B9" w:rsidRDefault="00CC5CDB" w:rsidP="00364CB4">
      <w:r>
        <w:t xml:space="preserve">The load-distance approach uses an emissions factor that is measured in kilograms of carbon dioxide per </w:t>
      </w:r>
      <w:r w:rsidR="00483125">
        <w:t>tonne</w:t>
      </w:r>
      <w:r w:rsidR="002F153B">
        <w:t>-</w:t>
      </w:r>
      <w:r>
        <w:t>kilometre. This reduces the need to know exactly the quantity of fuel that is combusted and instead enables emissions to be estimated based on distance</w:t>
      </w:r>
      <w:r w:rsidR="00B97812">
        <w:t xml:space="preserve"> directly</w:t>
      </w:r>
      <w:r>
        <w:t>.</w:t>
      </w:r>
      <w:r w:rsidR="00990EC6">
        <w:t xml:space="preserve"> </w:t>
      </w:r>
      <w:r w:rsidR="002C417A">
        <w:t>Instead</w:t>
      </w:r>
      <w:r w:rsidR="00CC36B5">
        <w:t>,</w:t>
      </w:r>
      <w:r w:rsidR="002C417A">
        <w:t xml:space="preserve"> the </w:t>
      </w:r>
      <w:r w:rsidR="00373105">
        <w:t xml:space="preserve">mass </w:t>
      </w:r>
      <w:r w:rsidR="00A8388A">
        <w:t>of the product</w:t>
      </w:r>
      <w:r w:rsidR="00360085">
        <w:t xml:space="preserve"> transported </w:t>
      </w:r>
      <w:r w:rsidR="00373105">
        <w:t xml:space="preserve">and </w:t>
      </w:r>
      <w:r w:rsidR="00AE41F8">
        <w:t xml:space="preserve">the </w:t>
      </w:r>
      <w:r w:rsidR="00373105">
        <w:t xml:space="preserve">distance </w:t>
      </w:r>
      <w:r w:rsidR="00902DF3">
        <w:t xml:space="preserve">transported </w:t>
      </w:r>
      <w:r w:rsidR="00373105">
        <w:t xml:space="preserve">will be used to estimate the </w:t>
      </w:r>
      <w:r w:rsidR="004204C5">
        <w:t xml:space="preserve">attributable </w:t>
      </w:r>
      <w:r w:rsidR="00373105">
        <w:t>emissions</w:t>
      </w:r>
      <w:r w:rsidR="004204C5">
        <w:t>.</w:t>
      </w:r>
    </w:p>
    <w:p w14:paraId="5483A083" w14:textId="41214C15" w:rsidR="009E79A1" w:rsidRPr="009E79A1" w:rsidRDefault="0079237E" w:rsidP="00AF5318">
      <w:pPr>
        <w:spacing w:before="240"/>
        <w:rPr>
          <w:i/>
          <w:iCs/>
        </w:rPr>
      </w:pPr>
      <w:r>
        <w:rPr>
          <w:i/>
          <w:iCs/>
        </w:rPr>
        <w:t>Fleet or default factor method</w:t>
      </w:r>
    </w:p>
    <w:p w14:paraId="6AC802B6" w14:textId="67E3FA72" w:rsidR="00F23217" w:rsidRPr="00DE2C9E" w:rsidRDefault="0079237E" w:rsidP="00C43646">
      <w:pPr>
        <w:spacing w:after="0"/>
      </w:pPr>
      <w:r>
        <w:t xml:space="preserve">The fleet or </w:t>
      </w:r>
      <w:r w:rsidR="00270661">
        <w:t xml:space="preserve">default factor method </w:t>
      </w:r>
      <w:r w:rsidR="00C72F9C">
        <w:t xml:space="preserve">relies on a default or fleet specific emissions factor that incorporates the </w:t>
      </w:r>
      <w:r w:rsidR="00AB0E83">
        <w:t xml:space="preserve">direct </w:t>
      </w:r>
      <w:r w:rsidR="00F05799">
        <w:t xml:space="preserve">and </w:t>
      </w:r>
      <w:r w:rsidR="00784C32">
        <w:t xml:space="preserve">upstream emissions factors for each of the fuels (full-fuel </w:t>
      </w:r>
      <w:r w:rsidR="004D3AC4">
        <w:t>cycle emissions)</w:t>
      </w:r>
      <w:r w:rsidR="00906A77">
        <w:t>. Where the emissions are reported as emissions per tonne</w:t>
      </w:r>
      <w:r w:rsidR="002F153B">
        <w:t>-</w:t>
      </w:r>
      <w:r w:rsidR="001D155D">
        <w:t xml:space="preserve">kilometre </w:t>
      </w:r>
      <w:r w:rsidR="00906A77">
        <w:t>(kgCO</w:t>
      </w:r>
      <w:r w:rsidR="00906A77" w:rsidRPr="00ED467B">
        <w:rPr>
          <w:vertAlign w:val="subscript"/>
        </w:rPr>
        <w:t>2</w:t>
      </w:r>
      <w:r w:rsidR="00906A77">
        <w:t>-e/t.km)</w:t>
      </w:r>
      <w:r w:rsidR="006520F1">
        <w:t>,</w:t>
      </w:r>
      <w:r w:rsidR="002B3CE1">
        <w:t xml:space="preserve"> no conversion factor is required, in the case where average fuel efficiency of the fleet is known</w:t>
      </w:r>
      <w:r w:rsidR="005B4FED">
        <w:t xml:space="preserve"> on a t.km basis, </w:t>
      </w:r>
      <w:r w:rsidR="004830DF">
        <w:t>the basic fuel conversion factors may be used.</w:t>
      </w:r>
    </w:p>
    <w:tbl>
      <w:tblPr>
        <w:tblStyle w:val="CERCallout"/>
        <w:tblpPr w:leftFromText="180" w:rightFromText="180" w:vertAnchor="text" w:horzAnchor="margin" w:tblpY="232"/>
        <w:tblW w:w="5000" w:type="pct"/>
        <w:tblLook w:val="0480" w:firstRow="0" w:lastRow="0" w:firstColumn="1" w:lastColumn="0" w:noHBand="0" w:noVBand="1"/>
        <w:tblCaption w:val="test"/>
        <w:tblDescription w:val="tesst"/>
      </w:tblPr>
      <w:tblGrid>
        <w:gridCol w:w="8996"/>
      </w:tblGrid>
      <w:tr w:rsidR="00CD60DF" w14:paraId="6F4611E9" w14:textId="77777777" w:rsidTr="00C63791">
        <w:trPr>
          <w:cantSplit w:val="0"/>
        </w:trPr>
        <w:tc>
          <w:tcPr>
            <w:tcW w:w="0" w:type="pct"/>
          </w:tcPr>
          <w:p w14:paraId="37FDC82F" w14:textId="35A7CAC6" w:rsidR="00CD60DF" w:rsidRPr="00C209F1" w:rsidRDefault="005E5E93" w:rsidP="008A4FA7">
            <w:pPr>
              <w:pStyle w:val="Heading4"/>
              <w:numPr>
                <w:ilvl w:val="0"/>
                <w:numId w:val="0"/>
              </w:numPr>
              <w:spacing w:before="0" w:beforeAutospacing="0" w:after="160"/>
              <w:rPr>
                <w:b/>
                <w:bCs/>
                <w:i w:val="0"/>
                <w:iCs/>
              </w:rPr>
            </w:pPr>
            <w:r>
              <w:rPr>
                <w:b/>
                <w:bCs/>
                <w:i w:val="0"/>
                <w:iCs/>
              </w:rPr>
              <w:t xml:space="preserve">Calculating transport emissions - </w:t>
            </w:r>
            <w:r w:rsidR="00F417AE">
              <w:rPr>
                <w:b/>
                <w:bCs/>
                <w:i w:val="0"/>
                <w:iCs/>
              </w:rPr>
              <w:t xml:space="preserve">fleet </w:t>
            </w:r>
            <w:r w:rsidR="009D37B1">
              <w:rPr>
                <w:b/>
                <w:bCs/>
                <w:i w:val="0"/>
                <w:iCs/>
              </w:rPr>
              <w:t>average-based</w:t>
            </w:r>
            <w:r w:rsidR="00C0685A">
              <w:rPr>
                <w:b/>
                <w:bCs/>
                <w:i w:val="0"/>
                <w:iCs/>
              </w:rPr>
              <w:t xml:space="preserve"> method in practice</w:t>
            </w:r>
          </w:p>
          <w:p w14:paraId="1DF59070" w14:textId="5174679B" w:rsidR="00CD60DF" w:rsidRDefault="00CD60DF" w:rsidP="008A4FA7">
            <w:pPr>
              <w:spacing w:before="0" w:beforeAutospacing="0" w:after="160"/>
            </w:pPr>
            <w:r>
              <w:t>Transport company A transports registered products and co-products weighing a total of 100 k</w:t>
            </w:r>
            <w:r w:rsidR="000B3E60">
              <w:t>ilograms</w:t>
            </w:r>
            <w:r>
              <w:t xml:space="preserve"> over a distance of 25 kilometres. The </w:t>
            </w:r>
            <w:r w:rsidR="000B1BA6">
              <w:t>fleet</w:t>
            </w:r>
            <w:r w:rsidR="003D207C">
              <w:t>-</w:t>
            </w:r>
            <w:r w:rsidR="000B1BA6">
              <w:t xml:space="preserve">wide </w:t>
            </w:r>
            <w:r w:rsidR="00974916">
              <w:t xml:space="preserve">combined </w:t>
            </w:r>
            <w:r w:rsidR="00C04CB3">
              <w:t>scope</w:t>
            </w:r>
            <w:r w:rsidR="00F341B8">
              <w:t xml:space="preserve"> 1</w:t>
            </w:r>
            <w:r w:rsidR="00974916">
              <w:t xml:space="preserve"> and </w:t>
            </w:r>
            <w:r w:rsidR="00F341B8">
              <w:t>3</w:t>
            </w:r>
            <w:r w:rsidR="00C04CB3">
              <w:t xml:space="preserve"> </w:t>
            </w:r>
            <w:r w:rsidR="000B1BA6">
              <w:t xml:space="preserve">emissions factor </w:t>
            </w:r>
            <w:r w:rsidR="00974916">
              <w:t>for</w:t>
            </w:r>
            <w:r w:rsidR="003271F8">
              <w:t xml:space="preserve"> eligible</w:t>
            </w:r>
            <w:r>
              <w:t xml:space="preserve"> vehicle</w:t>
            </w:r>
            <w:r w:rsidR="003271F8">
              <w:t>s</w:t>
            </w:r>
            <w:r>
              <w:t xml:space="preserve"> freighting these products</w:t>
            </w:r>
            <w:r w:rsidR="003271F8">
              <w:t xml:space="preserve"> over</w:t>
            </w:r>
            <w:r w:rsidR="004858B1">
              <w:t xml:space="preserve"> the previous 12 months</w:t>
            </w:r>
            <w:r>
              <w:t xml:space="preserve"> was 0.</w:t>
            </w:r>
            <w:r w:rsidR="00A144FC">
              <w:t>8656</w:t>
            </w:r>
            <w:r>
              <w:t xml:space="preserve"> </w:t>
            </w:r>
            <w:r w:rsidR="007F1C42">
              <w:t>kgCO</w:t>
            </w:r>
            <w:r w:rsidR="007F1C42" w:rsidRPr="00ED467B">
              <w:rPr>
                <w:vertAlign w:val="subscript"/>
              </w:rPr>
              <w:t>2</w:t>
            </w:r>
            <w:r w:rsidR="007F1C42">
              <w:t>-e</w:t>
            </w:r>
            <w:r w:rsidR="00354F70">
              <w:t xml:space="preserve"> per tonne </w:t>
            </w:r>
            <w:r w:rsidR="00246B0C">
              <w:t>per kilometre</w:t>
            </w:r>
            <w:r>
              <w:t>.</w:t>
            </w:r>
          </w:p>
          <w:p w14:paraId="70B2D899" w14:textId="77777777" w:rsidR="00CD60DF" w:rsidRDefault="00CD60DF" w:rsidP="008A4FA7">
            <w:pPr>
              <w:spacing w:before="0" w:beforeAutospacing="0" w:after="160"/>
            </w:pPr>
            <w:r>
              <w:t>The proposed transport emissions calculation is:</w:t>
            </w:r>
          </w:p>
          <w:p w14:paraId="182C6377" w14:textId="053A192B" w:rsidR="00CD60DF" w:rsidRPr="006C36E2" w:rsidRDefault="00785FEC" w:rsidP="008A4FA7">
            <w:pPr>
              <w:spacing w:before="0" w:beforeAutospacing="0" w:after="160"/>
              <w:rPr>
                <w:b/>
                <w:bCs/>
              </w:rPr>
            </w:pPr>
            <m:oMathPara>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transport,  overall</m:t>
                    </m:r>
                  </m:sub>
                </m:sSub>
                <m:r>
                  <m:rPr>
                    <m:sty m:val="bi"/>
                  </m:rPr>
                  <w:rPr>
                    <w:rFonts w:ascii="Cambria Math" w:hAnsi="Cambria Math"/>
                  </w:rPr>
                  <m:t>=M×D×CF×</m:t>
                </m:r>
                <m:sSub>
                  <m:sSubPr>
                    <m:ctrlPr>
                      <w:rPr>
                        <w:rFonts w:ascii="Cambria Math" w:hAnsi="Cambria Math"/>
                        <w:b/>
                        <w:bCs/>
                        <w:i/>
                      </w:rPr>
                    </m:ctrlPr>
                  </m:sSubPr>
                  <m:e>
                    <m:r>
                      <m:rPr>
                        <m:sty m:val="bi"/>
                      </m:rPr>
                      <w:rPr>
                        <w:rFonts w:ascii="Cambria Math" w:hAnsi="Cambria Math"/>
                      </w:rPr>
                      <m:t>EF</m:t>
                    </m:r>
                  </m:e>
                  <m:sub>
                    <m:r>
                      <m:rPr>
                        <m:sty m:val="bi"/>
                      </m:rPr>
                      <w:rPr>
                        <w:rFonts w:ascii="Cambria Math" w:hAnsi="Cambria Math"/>
                      </w:rPr>
                      <m:t>i</m:t>
                    </m:r>
                  </m:sub>
                </m:sSub>
              </m:oMath>
            </m:oMathPara>
          </w:p>
          <w:p w14:paraId="79F085B2" w14:textId="77777777" w:rsidR="00CD60DF" w:rsidRDefault="00CD60DF" w:rsidP="008A4FA7">
            <w:pPr>
              <w:spacing w:before="0" w:beforeAutospacing="0" w:after="160"/>
            </w:pPr>
            <w:r>
              <w:t>Where:</w:t>
            </w:r>
          </w:p>
          <w:p w14:paraId="63C4A97F" w14:textId="10F37020" w:rsidR="00E20EFA" w:rsidRDefault="00C147FC" w:rsidP="004B0F45">
            <w:pPr>
              <w:spacing w:before="0" w:beforeAutospacing="0" w:after="160"/>
              <w:ind w:left="251"/>
            </w:pPr>
            <w:r w:rsidRPr="006C36E2">
              <w:rPr>
                <w:b/>
                <w:bCs/>
                <w:i/>
                <w:iCs/>
              </w:rPr>
              <w:t>M</w:t>
            </w:r>
            <w:r>
              <w:t xml:space="preserve"> </w:t>
            </w:r>
            <w:r w:rsidR="00E20EFA">
              <w:t xml:space="preserve">is the </w:t>
            </w:r>
            <w:r w:rsidR="007905D9">
              <w:t>weight of the products</w:t>
            </w:r>
            <w:r w:rsidR="00F977AD">
              <w:t xml:space="preserve"> transported</w:t>
            </w:r>
            <w:r w:rsidR="00E20EFA">
              <w:t>.</w:t>
            </w:r>
          </w:p>
          <w:p w14:paraId="1B460A15" w14:textId="7C846C87" w:rsidR="00CD60DF" w:rsidRDefault="006C36E2" w:rsidP="004B0F45">
            <w:pPr>
              <w:spacing w:before="0" w:beforeAutospacing="0" w:after="160"/>
              <w:ind w:left="251"/>
            </w:pPr>
            <m:oMath>
              <m:r>
                <m:rPr>
                  <m:sty m:val="bi"/>
                </m:rPr>
                <w:rPr>
                  <w:rFonts w:ascii="Cambria Math" w:hAnsi="Cambria Math"/>
                </w:rPr>
                <m:t>D</m:t>
              </m:r>
            </m:oMath>
            <w:r w:rsidR="00CD60DF">
              <w:t xml:space="preserve"> is the distance in kilometres that the registered product was transported.</w:t>
            </w:r>
          </w:p>
          <w:p w14:paraId="68FD8A63" w14:textId="7FBF47B8" w:rsidR="00CD60DF" w:rsidRDefault="006C36E2" w:rsidP="004B0F45">
            <w:pPr>
              <w:spacing w:before="0" w:beforeAutospacing="0" w:after="160"/>
              <w:ind w:left="251"/>
            </w:pPr>
            <m:oMath>
              <m:r>
                <m:rPr>
                  <m:sty m:val="bi"/>
                </m:rPr>
                <w:rPr>
                  <w:rFonts w:ascii="Cambria Math" w:hAnsi="Cambria Math"/>
                </w:rPr>
                <m:t>CF</m:t>
              </m:r>
            </m:oMath>
            <w:r w:rsidR="00CD60DF">
              <w:t xml:space="preserve"> is the conversion factor to ensure the functional unit for the fuel is consistent with the emissions factor. Where the functional unit is already appropriate, this value is 1.</w:t>
            </w:r>
          </w:p>
          <w:p w14:paraId="61B2F219" w14:textId="414DBCD0" w:rsidR="00CD60DF" w:rsidRDefault="00785FEC" w:rsidP="004B0F45">
            <w:pPr>
              <w:spacing w:before="0" w:beforeAutospacing="0" w:after="160"/>
              <w:ind w:left="251"/>
            </w:pPr>
            <m:oMath>
              <m:sSub>
                <m:sSubPr>
                  <m:ctrlPr>
                    <w:rPr>
                      <w:rFonts w:ascii="Cambria Math" w:hAnsi="Cambria Math"/>
                      <w:b/>
                      <w:bCs/>
                      <w:i/>
                    </w:rPr>
                  </m:ctrlPr>
                </m:sSubPr>
                <m:e>
                  <m:r>
                    <m:rPr>
                      <m:sty m:val="bi"/>
                    </m:rPr>
                    <w:rPr>
                      <w:rFonts w:ascii="Cambria Math" w:hAnsi="Cambria Math"/>
                    </w:rPr>
                    <m:t>EF</m:t>
                  </m:r>
                </m:e>
                <m:sub>
                  <m:r>
                    <m:rPr>
                      <m:sty m:val="bi"/>
                    </m:rPr>
                    <w:rPr>
                      <w:rFonts w:ascii="Cambria Math" w:hAnsi="Cambria Math"/>
                    </w:rPr>
                    <m:t>i</m:t>
                  </m:r>
                </m:sub>
              </m:sSub>
            </m:oMath>
            <w:r w:rsidR="00CD60DF">
              <w:t xml:space="preserve"> is the combined scope 1 and scope 3 emissions factor associated with fuel type </w:t>
            </w:r>
            <w:proofErr w:type="spellStart"/>
            <w:r w:rsidR="00CD60DF">
              <w:t>i</w:t>
            </w:r>
            <w:proofErr w:type="spellEnd"/>
            <w:r w:rsidR="00CD60DF">
              <w:t xml:space="preserve">. It </w:t>
            </w:r>
            <w:r w:rsidR="006467F8">
              <w:t xml:space="preserve">is </w:t>
            </w:r>
            <w:r w:rsidR="00FE14FC">
              <w:t xml:space="preserve">a default or fleet </w:t>
            </w:r>
            <w:r w:rsidR="006B7998">
              <w:t xml:space="preserve">average </w:t>
            </w:r>
            <w:r w:rsidR="002B6990">
              <w:t xml:space="preserve">value </w:t>
            </w:r>
            <w:r w:rsidR="00BA1559">
              <w:t xml:space="preserve">on </w:t>
            </w:r>
            <w:r w:rsidR="00FC6CCA">
              <w:t xml:space="preserve">a weight of the </w:t>
            </w:r>
            <w:r w:rsidR="00E20084">
              <w:t>product</w:t>
            </w:r>
            <w:r w:rsidR="007E09ED">
              <w:t xml:space="preserve"> transported</w:t>
            </w:r>
            <w:r w:rsidR="00A726B5">
              <w:t xml:space="preserve"> </w:t>
            </w:r>
            <w:r w:rsidR="007B2848">
              <w:t xml:space="preserve">over </w:t>
            </w:r>
            <w:r w:rsidR="00A461D5">
              <w:t xml:space="preserve">unit </w:t>
            </w:r>
            <w:r w:rsidR="003F0FA8">
              <w:t xml:space="preserve">distance basis </w:t>
            </w:r>
            <w:r w:rsidR="00AB178A">
              <w:t xml:space="preserve">and </w:t>
            </w:r>
            <w:r w:rsidR="00CD60DF">
              <w:t xml:space="preserve">must be sourced in accordance with </w:t>
            </w:r>
            <w:r w:rsidR="00D56CD7">
              <w:rPr>
                <w:highlight w:val="yellow"/>
              </w:rPr>
              <w:fldChar w:fldCharType="begin"/>
            </w:r>
            <w:r w:rsidR="00D56CD7">
              <w:instrText xml:space="preserve"> REF _Ref137634586 \r \h </w:instrText>
            </w:r>
            <w:r w:rsidR="00D56CD7">
              <w:rPr>
                <w:highlight w:val="yellow"/>
              </w:rPr>
            </w:r>
            <w:r w:rsidR="00D56CD7">
              <w:rPr>
                <w:highlight w:val="yellow"/>
              </w:rPr>
              <w:fldChar w:fldCharType="separate"/>
            </w:r>
            <w:r>
              <w:t>Section 4.2</w:t>
            </w:r>
            <w:r w:rsidR="00D56CD7">
              <w:rPr>
                <w:highlight w:val="yellow"/>
              </w:rPr>
              <w:fldChar w:fldCharType="end"/>
            </w:r>
            <w:r w:rsidR="00CD60DF">
              <w:t>.</w:t>
            </w:r>
          </w:p>
          <w:p w14:paraId="28FE85C5" w14:textId="77777777" w:rsidR="00CD60DF" w:rsidRDefault="00CD60DF" w:rsidP="004B0F45">
            <w:pPr>
              <w:spacing w:before="0" w:beforeAutospacing="0" w:after="160"/>
              <w:ind w:left="251"/>
            </w:pPr>
            <w:r>
              <w:t>Substituting the values from the above example into this equation produces the result:</w:t>
            </w:r>
          </w:p>
          <w:p w14:paraId="475EA47E" w14:textId="6BDC808A" w:rsidR="00CD60DF" w:rsidRPr="006C36E2" w:rsidRDefault="006C36E2" w:rsidP="008A4FA7">
            <w:pPr>
              <w:spacing w:before="0" w:beforeAutospacing="0" w:after="160"/>
              <w:jc w:val="center"/>
              <w:rPr>
                <w:b/>
                <w:bCs/>
              </w:rPr>
            </w:pPr>
            <m:oMathPara>
              <m:oMath>
                <m:r>
                  <m:rPr>
                    <m:sty m:val="bi"/>
                  </m:rPr>
                  <w:rPr>
                    <w:rFonts w:ascii="Cambria Math" w:hAnsi="Cambria Math"/>
                  </w:rPr>
                  <m:t>2.164=</m:t>
                </m:r>
                <m:f>
                  <m:fPr>
                    <m:ctrlPr>
                      <w:rPr>
                        <w:rFonts w:ascii="Cambria Math" w:hAnsi="Cambria Math"/>
                        <w:b/>
                        <w:bCs/>
                        <w:i/>
                      </w:rPr>
                    </m:ctrlPr>
                  </m:fPr>
                  <m:num>
                    <m:r>
                      <m:rPr>
                        <m:sty m:val="bi"/>
                      </m:rPr>
                      <w:rPr>
                        <w:rFonts w:ascii="Cambria Math" w:hAnsi="Cambria Math"/>
                      </w:rPr>
                      <m:t>100</m:t>
                    </m:r>
                  </m:num>
                  <m:den>
                    <m:r>
                      <m:rPr>
                        <m:sty m:val="bi"/>
                      </m:rPr>
                      <w:rPr>
                        <w:rFonts w:ascii="Cambria Math" w:hAnsi="Cambria Math"/>
                      </w:rPr>
                      <m:t>1000</m:t>
                    </m:r>
                  </m:den>
                </m:f>
                <m:r>
                  <m:rPr>
                    <m:sty m:val="bi"/>
                  </m:rPr>
                  <w:rPr>
                    <w:rFonts w:ascii="Cambria Math" w:hAnsi="Cambria Math"/>
                  </w:rPr>
                  <m:t>× 25 ×1×0.8656</m:t>
                </m:r>
              </m:oMath>
            </m:oMathPara>
          </w:p>
          <w:p w14:paraId="14D94C05" w14:textId="6BEE2D8F" w:rsidR="00CD60DF" w:rsidRPr="00C94E01" w:rsidRDefault="00CD60DF" w:rsidP="004B0F45">
            <w:pPr>
              <w:spacing w:before="0" w:beforeAutospacing="0" w:after="160"/>
              <w:ind w:left="251"/>
            </w:pPr>
            <w:r>
              <w:t>The overall transport emissions attributable to the transport process</w:t>
            </w:r>
            <w:r w:rsidR="004831FF">
              <w:t xml:space="preserve"> using this method</w:t>
            </w:r>
            <w:r>
              <w:t xml:space="preserve"> is </w:t>
            </w:r>
            <w:r w:rsidR="00A144FC">
              <w:t>2.164</w:t>
            </w:r>
            <w:r>
              <w:t xml:space="preserve"> kg CO</w:t>
            </w:r>
            <w:r w:rsidRPr="007C7115">
              <w:rPr>
                <w:vertAlign w:val="subscript"/>
              </w:rPr>
              <w:t>2</w:t>
            </w:r>
            <w:r>
              <w:t>-e.</w:t>
            </w:r>
          </w:p>
        </w:tc>
      </w:tr>
    </w:tbl>
    <w:p w14:paraId="78361EC5" w14:textId="3FBF080E" w:rsidR="00472A12" w:rsidRPr="00472A12" w:rsidRDefault="00940F9A" w:rsidP="004877B2">
      <w:pPr>
        <w:keepNext/>
        <w:spacing w:before="240"/>
      </w:pPr>
      <w:r>
        <w:rPr>
          <w:i/>
          <w:iCs/>
        </w:rPr>
        <w:t xml:space="preserve">Pipeline </w:t>
      </w:r>
      <w:r w:rsidR="00472A12">
        <w:rPr>
          <w:i/>
          <w:iCs/>
        </w:rPr>
        <w:t>distance</w:t>
      </w:r>
    </w:p>
    <w:p w14:paraId="1BA6CEDB" w14:textId="05D2BB14" w:rsidR="008F7D37" w:rsidRDefault="00763660" w:rsidP="00364CB4">
      <w:r>
        <w:t xml:space="preserve">The </w:t>
      </w:r>
      <w:r w:rsidR="00863284">
        <w:t xml:space="preserve">pipeline distance method would apply where transport occurs via a gas pipeline. </w:t>
      </w:r>
      <w:r w:rsidR="00E95CB8">
        <w:t xml:space="preserve">The proposed approach is to multiply the </w:t>
      </w:r>
      <w:r w:rsidR="003E4DB0">
        <w:t>distance the product is transported</w:t>
      </w:r>
      <w:r w:rsidR="00E95CB8">
        <w:t xml:space="preserve"> via the pipeline by an emissions factor</w:t>
      </w:r>
      <w:r w:rsidR="003E4DB0">
        <w:t>.</w:t>
      </w:r>
      <w:r w:rsidR="008F7D37">
        <w:t xml:space="preserve"> The emissions factor would need to reflect the upstream and direct emissions associated with each kilometre the product is transported. </w:t>
      </w:r>
    </w:p>
    <w:p w14:paraId="57F37055" w14:textId="74927F44" w:rsidR="003E0C78" w:rsidRDefault="008F7D37" w:rsidP="00793EEE">
      <w:r>
        <w:t xml:space="preserve">The Department is exploring </w:t>
      </w:r>
      <w:r w:rsidR="004228BF">
        <w:t>the availability of</w:t>
      </w:r>
      <w:r>
        <w:t xml:space="preserve"> </w:t>
      </w:r>
      <w:r w:rsidR="00B00ECE">
        <w:t xml:space="preserve">emissions factors for hydrogen transported via a </w:t>
      </w:r>
      <w:r w:rsidR="004228BF">
        <w:t xml:space="preserve">pipeline. </w:t>
      </w:r>
    </w:p>
    <w:p w14:paraId="6DF01F4B" w14:textId="4C58A829" w:rsidR="00161A46" w:rsidRDefault="00161A46" w:rsidP="000A4ED9">
      <w:pPr>
        <w:pStyle w:val="Heading4"/>
        <w:spacing w:before="240"/>
      </w:pPr>
      <w:bookmarkStart w:id="164" w:name="_Ref130372984"/>
      <w:r>
        <w:t>Allocation for multi-product legs</w:t>
      </w:r>
      <w:bookmarkEnd w:id="164"/>
    </w:p>
    <w:p w14:paraId="71B3B151" w14:textId="5ED081D6" w:rsidR="00327874" w:rsidRPr="00327874" w:rsidRDefault="0037763A" w:rsidP="005F6C8E">
      <w:pPr>
        <w:pStyle w:val="Caption"/>
        <w:rPr>
          <w:b w:val="0"/>
          <w:bCs w:val="0"/>
          <w:i w:val="0"/>
          <w:iCs w:val="0"/>
        </w:rPr>
      </w:pPr>
      <w:r>
        <w:rPr>
          <w:b w:val="0"/>
          <w:bCs w:val="0"/>
          <w:i w:val="0"/>
          <w:iCs w:val="0"/>
        </w:rPr>
        <w:t xml:space="preserve">Where there are multi-product legs throughout a </w:t>
      </w:r>
      <w:r w:rsidR="00A279AB">
        <w:rPr>
          <w:b w:val="0"/>
          <w:bCs w:val="0"/>
          <w:i w:val="0"/>
          <w:iCs w:val="0"/>
        </w:rPr>
        <w:t xml:space="preserve">transport process, the transport emissions can be allocated </w:t>
      </w:r>
      <w:r w:rsidR="00CD01BD">
        <w:rPr>
          <w:b w:val="0"/>
          <w:bCs w:val="0"/>
          <w:i w:val="0"/>
          <w:iCs w:val="0"/>
        </w:rPr>
        <w:t xml:space="preserve">between the product covered under the GO scheme and any other products that were </w:t>
      </w:r>
      <w:r w:rsidR="00F54F33">
        <w:rPr>
          <w:b w:val="0"/>
          <w:bCs w:val="0"/>
          <w:i w:val="0"/>
          <w:iCs w:val="0"/>
        </w:rPr>
        <w:t>transported</w:t>
      </w:r>
      <w:r w:rsidR="00CD01BD">
        <w:rPr>
          <w:b w:val="0"/>
          <w:bCs w:val="0"/>
          <w:i w:val="0"/>
          <w:iCs w:val="0"/>
        </w:rPr>
        <w:t xml:space="preserve"> alongside it</w:t>
      </w:r>
      <w:r w:rsidR="00F54F33">
        <w:rPr>
          <w:b w:val="0"/>
          <w:bCs w:val="0"/>
          <w:i w:val="0"/>
          <w:iCs w:val="0"/>
        </w:rPr>
        <w:t>. Where transport occurs with multiple products being shipped simultaneously or in a cyclic system, allocation to each product must be applied</w:t>
      </w:r>
      <w:r w:rsidR="00CD01BD">
        <w:rPr>
          <w:b w:val="0"/>
          <w:bCs w:val="0"/>
          <w:i w:val="0"/>
          <w:iCs w:val="0"/>
        </w:rPr>
        <w:t xml:space="preserve"> using </w:t>
      </w:r>
      <w:r w:rsidR="00247A5D">
        <w:rPr>
          <w:b w:val="0"/>
          <w:bCs w:val="0"/>
          <w:i w:val="0"/>
          <w:iCs w:val="0"/>
        </w:rPr>
        <w:t xml:space="preserve">a </w:t>
      </w:r>
      <w:r w:rsidR="00CE45C6">
        <w:rPr>
          <w:b w:val="0"/>
          <w:bCs w:val="0"/>
          <w:i w:val="0"/>
          <w:iCs w:val="0"/>
        </w:rPr>
        <w:t>mass-based approach</w:t>
      </w:r>
      <w:r w:rsidR="00CE45C6" w:rsidRPr="00CE45C6">
        <w:rPr>
          <w:b w:val="0"/>
          <w:bCs w:val="0"/>
          <w:i w:val="0"/>
          <w:iCs w:val="0"/>
        </w:rPr>
        <w:t xml:space="preserve"> </w:t>
      </w:r>
      <w:r w:rsidR="00CE45C6">
        <w:rPr>
          <w:b w:val="0"/>
          <w:bCs w:val="0"/>
          <w:i w:val="0"/>
          <w:iCs w:val="0"/>
        </w:rPr>
        <w:t>which also reflects the distance travelled by registered products and co-products</w:t>
      </w:r>
      <w:r w:rsidR="00376514">
        <w:rPr>
          <w:b w:val="0"/>
          <w:bCs w:val="0"/>
          <w:i w:val="0"/>
          <w:iCs w:val="0"/>
        </w:rPr>
        <w:t>.</w:t>
      </w:r>
    </w:p>
    <w:p w14:paraId="7D0FFABC" w14:textId="5AD13BE2" w:rsidR="00F23217" w:rsidRDefault="008F4335" w:rsidP="00805179">
      <w:r>
        <w:t xml:space="preserve">The approach will apportion emissions associated with transport based on the </w:t>
      </w:r>
      <w:r w:rsidR="00B53204">
        <w:t>tonne-kilometre</w:t>
      </w:r>
      <w:r>
        <w:t xml:space="preserve"> of other products</w:t>
      </w:r>
      <w:r w:rsidR="003E5497">
        <w:t xml:space="preserve">. This value is then able to be divided by the </w:t>
      </w:r>
      <w:r w:rsidR="00EB6058">
        <w:t xml:space="preserve">tonne-kilometre of the registered product to derive an allocation value. </w:t>
      </w:r>
      <w:r w:rsidR="001C4E81">
        <w:t xml:space="preserve">This allocation value can then be applied to the transport emissions calculated above to remove the component associated with other products. </w:t>
      </w:r>
    </w:p>
    <w:tbl>
      <w:tblPr>
        <w:tblStyle w:val="CERCallout"/>
        <w:tblW w:w="5000" w:type="pct"/>
        <w:tblLook w:val="0480" w:firstRow="0" w:lastRow="0" w:firstColumn="1" w:lastColumn="0" w:noHBand="0" w:noVBand="1"/>
      </w:tblPr>
      <w:tblGrid>
        <w:gridCol w:w="8996"/>
      </w:tblGrid>
      <w:tr w:rsidR="00B33753" w:rsidRPr="00C94E01" w14:paraId="69501B39" w14:textId="77777777" w:rsidTr="00BA12DB">
        <w:trPr>
          <w:cantSplit w:val="0"/>
        </w:trPr>
        <w:tc>
          <w:tcPr>
            <w:tcW w:w="5000" w:type="pct"/>
          </w:tcPr>
          <w:p w14:paraId="203CBAF3" w14:textId="77777777" w:rsidR="00B33753" w:rsidRPr="00C209F1" w:rsidRDefault="00B33753" w:rsidP="00BA12DB">
            <w:pPr>
              <w:pStyle w:val="Heading4"/>
              <w:numPr>
                <w:ilvl w:val="3"/>
                <w:numId w:val="0"/>
              </w:numPr>
              <w:spacing w:before="0" w:beforeAutospacing="0" w:after="160"/>
              <w:rPr>
                <w:b/>
                <w:bCs/>
                <w:i w:val="0"/>
                <w:iCs/>
              </w:rPr>
            </w:pPr>
            <w:r w:rsidDel="00C47678">
              <w:rPr>
                <w:b/>
                <w:bCs/>
                <w:i w:val="0"/>
                <w:iCs/>
              </w:rPr>
              <w:t>A</w:t>
            </w:r>
            <w:r>
              <w:rPr>
                <w:b/>
                <w:bCs/>
                <w:i w:val="0"/>
                <w:iCs/>
              </w:rPr>
              <w:t>llocation in transport process in practice</w:t>
            </w:r>
          </w:p>
          <w:p w14:paraId="54DCB1DA" w14:textId="77777777" w:rsidR="00B33753" w:rsidRDefault="00B33753" w:rsidP="00BA12DB">
            <w:pPr>
              <w:spacing w:before="0" w:beforeAutospacing="0" w:after="160"/>
            </w:pPr>
            <w:r>
              <w:t>Transport company A transports 25 kilograms of hydrogen over a distance of 100 kilometres. Transported alongside this was 10 kilograms of another product over a distance of 75 kilometres.</w:t>
            </w:r>
          </w:p>
          <w:p w14:paraId="319FCD2A" w14:textId="77777777" w:rsidR="00B33753" w:rsidRDefault="00B33753" w:rsidP="00BA12DB">
            <w:pPr>
              <w:spacing w:before="0" w:beforeAutospacing="0" w:after="160"/>
            </w:pPr>
            <w:r>
              <w:t>The proposed allocation calculation is:</w:t>
            </w:r>
          </w:p>
          <w:p w14:paraId="5A8E9D59" w14:textId="77777777" w:rsidR="00B33753" w:rsidRPr="00BA26F9" w:rsidRDefault="00785FEC" w:rsidP="00BA12DB">
            <w:pPr>
              <w:spacing w:before="0" w:beforeAutospacing="0" w:after="160"/>
              <w:jc w:val="center"/>
              <w:rPr>
                <w:b/>
                <w:bCs/>
              </w:rPr>
            </w:pPr>
            <m:oMathPara>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otherproduct</m:t>
                    </m:r>
                  </m:sub>
                </m:sSub>
                <m:r>
                  <m:rPr>
                    <m:sty m:val="bi"/>
                  </m:rPr>
                  <w:rPr>
                    <w:rFonts w:ascii="Cambria Math" w:hAnsi="Cambria Math"/>
                  </w:rPr>
                  <m: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other</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other</m:t>
                        </m:r>
                      </m:sub>
                    </m:sSub>
                  </m:num>
                  <m:den>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total</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total</m:t>
                        </m:r>
                      </m:sub>
                    </m:sSub>
                  </m:den>
                </m:f>
              </m:oMath>
            </m:oMathPara>
          </w:p>
          <w:p w14:paraId="2C37380C" w14:textId="77777777" w:rsidR="00B33753" w:rsidRDefault="00B33753" w:rsidP="00BA12DB">
            <w:pPr>
              <w:spacing w:before="0" w:beforeAutospacing="0" w:after="160"/>
            </w:pPr>
            <w:r>
              <w:t>Where:</w:t>
            </w:r>
          </w:p>
          <w:p w14:paraId="5D6E0098" w14:textId="77777777" w:rsidR="00B33753" w:rsidRDefault="00785FEC" w:rsidP="00BA12DB">
            <w:pPr>
              <w:spacing w:before="0" w:beforeAutospacing="0" w:after="160"/>
              <w:ind w:left="251"/>
              <w:rPr>
                <w:b/>
                <w:bCs/>
              </w:rPr>
            </w:pPr>
            <m:oMath>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other</m:t>
                  </m:r>
                </m:sub>
              </m:sSub>
            </m:oMath>
            <w:r w:rsidR="00B33753">
              <w:t xml:space="preserve">and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other</m:t>
                  </m:r>
                </m:sub>
              </m:sSub>
            </m:oMath>
            <w:r w:rsidR="00B33753">
              <w:rPr>
                <w:b/>
                <w:bCs/>
              </w:rPr>
              <w:t xml:space="preserve"> </w:t>
            </w:r>
            <w:r w:rsidR="00B33753" w:rsidRPr="005956CA">
              <w:t xml:space="preserve">are the distance and </w:t>
            </w:r>
            <w:r w:rsidR="00B33753">
              <w:t>weight</w:t>
            </w:r>
            <w:r w:rsidR="00B33753" w:rsidRPr="005956CA">
              <w:t xml:space="preserve"> respectively of the other product transported alongside the registered product</w:t>
            </w:r>
            <w:r w:rsidR="00B33753">
              <w:rPr>
                <w:b/>
                <w:bCs/>
              </w:rPr>
              <w:t>,</w:t>
            </w:r>
          </w:p>
          <w:p w14:paraId="6019B80F" w14:textId="77777777" w:rsidR="00B33753" w:rsidRDefault="00785FEC" w:rsidP="00BA12DB">
            <w:pPr>
              <w:spacing w:before="0" w:beforeAutospacing="0" w:after="160"/>
              <w:ind w:left="251"/>
            </w:pPr>
            <m:oMath>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total</m:t>
                  </m:r>
                </m:sub>
              </m:sSub>
              <m:r>
                <m:rPr>
                  <m:sty m:val="bi"/>
                </m:rPr>
                <w:rPr>
                  <w:rFonts w:ascii="Cambria Math" w:hAnsi="Cambria Math"/>
                </w:rPr>
                <m:t xml:space="preserve"> </m:t>
              </m:r>
            </m:oMath>
            <w:r w:rsidR="00B33753">
              <w:rPr>
                <w:b/>
                <w:bCs/>
              </w:rPr>
              <w:t xml:space="preserve"> </w:t>
            </w:r>
            <w:r w:rsidR="00B33753">
              <w:t xml:space="preserve">and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total</m:t>
                  </m:r>
                </m:sub>
              </m:sSub>
            </m:oMath>
            <w:r w:rsidR="00B33753">
              <w:t xml:space="preserve">  is the total distance travelled by the registered product and the total weight of all products transported together respectively. </w:t>
            </w:r>
          </w:p>
          <w:p w14:paraId="55B7066B" w14:textId="77777777" w:rsidR="00B33753" w:rsidRDefault="00B33753" w:rsidP="00BA12DB">
            <w:pPr>
              <w:spacing w:before="0" w:beforeAutospacing="0" w:after="160"/>
              <w:ind w:left="251"/>
            </w:pPr>
            <w:r>
              <w:t>Substituting the values from the above example into this equation produces the result:</w:t>
            </w:r>
          </w:p>
          <w:p w14:paraId="697E1115" w14:textId="215BE85C" w:rsidR="00B33753" w:rsidRPr="006C36E2" w:rsidRDefault="00B33753" w:rsidP="00BA12DB">
            <w:pPr>
              <w:spacing w:before="0" w:beforeAutospacing="0" w:after="160"/>
              <w:jc w:val="center"/>
              <w:rPr>
                <w:b/>
                <w:bCs/>
              </w:rPr>
            </w:pPr>
            <m:oMathPara>
              <m:oMath>
                <m:r>
                  <m:rPr>
                    <m:sty m:val="bi"/>
                  </m:rPr>
                  <w:rPr>
                    <w:rFonts w:ascii="Cambria Math" w:hAnsi="Cambria Math"/>
                  </w:rPr>
                  <m:t>0.21=</m:t>
                </m:r>
                <m:f>
                  <m:fPr>
                    <m:ctrlPr>
                      <w:rPr>
                        <w:rFonts w:ascii="Cambria Math" w:hAnsi="Cambria Math"/>
                        <w:b/>
                        <w:bCs/>
                        <w:i/>
                      </w:rPr>
                    </m:ctrlPr>
                  </m:fPr>
                  <m:num>
                    <m:r>
                      <m:rPr>
                        <m:sty m:val="bi"/>
                      </m:rPr>
                      <w:rPr>
                        <w:rFonts w:ascii="Cambria Math" w:hAnsi="Cambria Math"/>
                      </w:rPr>
                      <m:t>75×10</m:t>
                    </m:r>
                  </m:num>
                  <m:den>
                    <m:r>
                      <m:rPr>
                        <m:sty m:val="bi"/>
                      </m:rPr>
                      <w:rPr>
                        <w:rFonts w:ascii="Cambria Math" w:hAnsi="Cambria Math"/>
                      </w:rPr>
                      <m:t>100×(25+10)</m:t>
                    </m:r>
                  </m:den>
                </m:f>
              </m:oMath>
            </m:oMathPara>
          </w:p>
          <w:p w14:paraId="24624725" w14:textId="07176CAD" w:rsidR="00B33753" w:rsidRPr="00C94E01" w:rsidRDefault="00B33753" w:rsidP="00BA12DB">
            <w:pPr>
              <w:spacing w:before="0" w:beforeAutospacing="0" w:after="160"/>
              <w:ind w:left="251"/>
            </w:pPr>
            <w:r>
              <w:t>The portion of the transport emissions allocatable to other products is 0.2</w:t>
            </w:r>
            <w:r w:rsidR="009558DA">
              <w:t>1</w:t>
            </w:r>
            <w:r>
              <w:t>.</w:t>
            </w:r>
          </w:p>
        </w:tc>
      </w:tr>
    </w:tbl>
    <w:p w14:paraId="3BD2B73E" w14:textId="345DE162" w:rsidR="00126207" w:rsidRDefault="003D29D6" w:rsidP="00BB357C">
      <w:pPr>
        <w:pStyle w:val="Heading3"/>
        <w:spacing w:before="200"/>
      </w:pPr>
      <w:r>
        <w:t>S</w:t>
      </w:r>
      <w:r w:rsidR="00126207">
        <w:t>torage</w:t>
      </w:r>
      <w:r>
        <w:t xml:space="preserve"> emissions</w:t>
      </w:r>
    </w:p>
    <w:p w14:paraId="690BF8BD" w14:textId="482D438B" w:rsidR="00590C68" w:rsidRDefault="4CF1E9EA" w:rsidP="00902959">
      <w:r>
        <w:t xml:space="preserve">Where storage and </w:t>
      </w:r>
      <w:r w:rsidR="642DE020">
        <w:t xml:space="preserve">transport mode/leg transfers occur, the emissions relating to the </w:t>
      </w:r>
      <w:r w:rsidR="67ED6F46">
        <w:t>activity may be material, and in which case, this will be required to be either measured or modelled</w:t>
      </w:r>
      <w:r w:rsidR="59179DF1">
        <w:t xml:space="preserve"> and added to the certificate.</w:t>
      </w:r>
      <w:r w:rsidR="37A0F431">
        <w:t xml:space="preserve"> </w:t>
      </w:r>
      <w:r w:rsidR="026FE834">
        <w:t xml:space="preserve">The storage facility boundary will </w:t>
      </w:r>
      <w:r w:rsidR="4721482F">
        <w:t>need to include</w:t>
      </w:r>
      <w:r w:rsidR="50DF90F9">
        <w:t xml:space="preserve"> compression</w:t>
      </w:r>
      <w:r w:rsidR="17A4236C">
        <w:t>, fuel use,</w:t>
      </w:r>
      <w:r w:rsidR="50DF90F9">
        <w:t xml:space="preserve"> and cooling </w:t>
      </w:r>
      <w:r w:rsidR="46D9D746">
        <w:t>for the storage facility</w:t>
      </w:r>
      <w:r w:rsidR="4721482F">
        <w:t xml:space="preserve"> </w:t>
      </w:r>
      <w:r w:rsidR="6F2D9A27">
        <w:t>related to storing the product. The approach to a more standardised storage system boundary will be developed over time as storage processes for hydrogen</w:t>
      </w:r>
      <w:r w:rsidR="14BF4F82">
        <w:t xml:space="preserve"> continue to</w:t>
      </w:r>
      <w:r w:rsidR="6F2D9A27">
        <w:t xml:space="preserve"> develop. </w:t>
      </w:r>
    </w:p>
    <w:p w14:paraId="28F35C47" w14:textId="486CD198" w:rsidR="003F5644" w:rsidRDefault="003F5644" w:rsidP="00902959">
      <w:r w:rsidRPr="003F5644">
        <w:t>Short duration storage and long duration storage are likely to require different treatments.</w:t>
      </w:r>
      <w:r>
        <w:t xml:space="preserve"> </w:t>
      </w:r>
      <w:r w:rsidRPr="003F5644">
        <w:t xml:space="preserve"> Longer term storage is likely to include material emissions from actions such as the maintenance of conditions, leak prevention systems, monitoring equipment and reconditioning. These are less likely to be material for shorter duration storage systems. Where possible, a time-based factor may be used for the storage facility, where the emissions are allocated to the relevantly stored product.</w:t>
      </w:r>
    </w:p>
    <w:p w14:paraId="511C41F5" w14:textId="5783984B" w:rsidR="00E95CF5" w:rsidRDefault="00902959" w:rsidP="00902959">
      <w:r>
        <w:t>The mechanisms of transfer between transport modes are proposed for inclusion of the system boundary</w:t>
      </w:r>
      <w:r w:rsidR="00456268">
        <w:t>. T</w:t>
      </w:r>
      <w:r>
        <w:t>hese emissions may be allocated based on an emissions per transfer rate.</w:t>
      </w:r>
      <w:r w:rsidR="003F4294">
        <w:t xml:space="preserve"> </w:t>
      </w:r>
      <w:r w:rsidR="00371ED1">
        <w:t>That is</w:t>
      </w:r>
      <w:r>
        <w:t xml:space="preserve"> 0.01 kg CO</w:t>
      </w:r>
      <w:r w:rsidRPr="00ED467B">
        <w:rPr>
          <w:vertAlign w:val="subscript"/>
        </w:rPr>
        <w:t>2</w:t>
      </w:r>
      <w:r>
        <w:t xml:space="preserve">-e per TEU </w:t>
      </w:r>
      <w:r w:rsidR="00375374">
        <w:t>(</w:t>
      </w:r>
      <w:r w:rsidR="00375374" w:rsidRPr="00375374">
        <w:t>twenty-foot equivalent unit</w:t>
      </w:r>
      <w:r w:rsidR="00375374">
        <w:t>)</w:t>
      </w:r>
      <w:r>
        <w:t xml:space="preserve"> as an </w:t>
      </w:r>
      <w:r w:rsidR="009068E6">
        <w:t>average emission</w:t>
      </w:r>
      <w:r>
        <w:t xml:space="preserve"> for a ports annual throughput. </w:t>
      </w:r>
      <w:r w:rsidR="002B09CD">
        <w:t xml:space="preserve"> </w:t>
      </w:r>
    </w:p>
    <w:p w14:paraId="2E616CBE" w14:textId="1C627C4A" w:rsidR="00A02088" w:rsidRPr="00E33F0A" w:rsidRDefault="00A02088" w:rsidP="00514BE9">
      <w:pPr>
        <w:pStyle w:val="Calloutbox"/>
        <w:keepNext/>
        <w:contextualSpacing w:val="0"/>
        <w:rPr>
          <w:b/>
          <w:bCs/>
        </w:rPr>
      </w:pPr>
      <w:r>
        <w:rPr>
          <w:b/>
          <w:bCs/>
        </w:rPr>
        <w:t xml:space="preserve">GO Calculator user guide – </w:t>
      </w:r>
      <w:r w:rsidR="00E65659">
        <w:rPr>
          <w:b/>
          <w:bCs/>
        </w:rPr>
        <w:t xml:space="preserve">Inputting </w:t>
      </w:r>
      <w:r>
        <w:rPr>
          <w:b/>
          <w:bCs/>
        </w:rPr>
        <w:t>storage emissions</w:t>
      </w:r>
    </w:p>
    <w:p w14:paraId="4D375BA2" w14:textId="7F6F4F9C" w:rsidR="007E2D2C" w:rsidRDefault="007E2D2C" w:rsidP="007E2D2C">
      <w:pPr>
        <w:pStyle w:val="Calloutbox"/>
        <w:spacing w:after="120"/>
        <w:contextualSpacing w:val="0"/>
      </w:pPr>
      <w:r>
        <w:t>The emissions associated with storage of the registered products are captured in the “Transport and Storage – Hydrogen” tab.</w:t>
      </w:r>
    </w:p>
    <w:p w14:paraId="29849147" w14:textId="7E974DB6" w:rsidR="00766E77" w:rsidRDefault="00036193" w:rsidP="00766E77">
      <w:pPr>
        <w:pStyle w:val="Calloutbox"/>
        <w:spacing w:after="120"/>
        <w:contextualSpacing w:val="0"/>
      </w:pPr>
      <w:r>
        <w:t>Users</w:t>
      </w:r>
      <w:r w:rsidR="007E2D2C">
        <w:t xml:space="preserve"> </w:t>
      </w:r>
      <w:r w:rsidR="00F452B7">
        <w:t>can</w:t>
      </w:r>
      <w:r w:rsidR="007E2D2C">
        <w:t xml:space="preserve"> input </w:t>
      </w:r>
      <w:r w:rsidR="00E650FC">
        <w:t xml:space="preserve">electricity usage </w:t>
      </w:r>
      <w:r w:rsidR="007E2D2C">
        <w:t xml:space="preserve">and </w:t>
      </w:r>
      <w:r w:rsidR="00A01E50">
        <w:t xml:space="preserve">fuel </w:t>
      </w:r>
      <w:r w:rsidR="00880DBD">
        <w:t>combustion</w:t>
      </w:r>
      <w:r w:rsidR="00A01E50" w:rsidRPr="00A01E50">
        <w:t xml:space="preserve"> </w:t>
      </w:r>
      <w:r w:rsidR="00A01E50">
        <w:t xml:space="preserve">associated with </w:t>
      </w:r>
      <w:r w:rsidR="00BC54B7">
        <w:t xml:space="preserve">product </w:t>
      </w:r>
      <w:r w:rsidR="00A01E50">
        <w:t>storage</w:t>
      </w:r>
      <w:r w:rsidR="00BC54B7">
        <w:t xml:space="preserve"> </w:t>
      </w:r>
      <w:r w:rsidR="00766E77">
        <w:t xml:space="preserve">in </w:t>
      </w:r>
      <w:r w:rsidR="00474343">
        <w:t xml:space="preserve">the </w:t>
      </w:r>
      <w:r w:rsidR="00FD549D" w:rsidRPr="000A7AAF">
        <w:rPr>
          <w:i/>
          <w:iCs/>
        </w:rPr>
        <w:t xml:space="preserve">STORAGE - </w:t>
      </w:r>
      <w:r w:rsidR="00296849" w:rsidRPr="000A7AAF">
        <w:rPr>
          <w:i/>
        </w:rPr>
        <w:t>ELECTRICITY CONSUMPTION</w:t>
      </w:r>
      <w:r w:rsidR="00296849">
        <w:t xml:space="preserve"> </w:t>
      </w:r>
      <w:r w:rsidR="00034B65">
        <w:t xml:space="preserve">and </w:t>
      </w:r>
      <w:r w:rsidR="00FD549D" w:rsidRPr="000A7AAF">
        <w:rPr>
          <w:i/>
          <w:iCs/>
        </w:rPr>
        <w:t xml:space="preserve">STORAGE - </w:t>
      </w:r>
      <w:r w:rsidR="00EC0BFF" w:rsidRPr="000A7AAF">
        <w:rPr>
          <w:i/>
        </w:rPr>
        <w:t xml:space="preserve">COMBUSTION FUEL </w:t>
      </w:r>
      <w:r w:rsidR="00E41BA8" w:rsidRPr="000A7AAF">
        <w:rPr>
          <w:i/>
          <w:iCs/>
        </w:rPr>
        <w:t>CONSUMPTION</w:t>
      </w:r>
      <w:r w:rsidR="00EC0BFF">
        <w:t xml:space="preserve"> </w:t>
      </w:r>
      <w:r w:rsidR="00766E77">
        <w:t>section</w:t>
      </w:r>
      <w:r w:rsidR="00E21448">
        <w:t>s.</w:t>
      </w:r>
    </w:p>
    <w:p w14:paraId="70F18636" w14:textId="39F484B1" w:rsidR="00766E77" w:rsidRPr="00E95CF5" w:rsidRDefault="00492C0C" w:rsidP="00F6356E">
      <w:pPr>
        <w:pStyle w:val="Calloutbox"/>
      </w:pPr>
      <w:r>
        <w:t>Input required are</w:t>
      </w:r>
      <w:r w:rsidR="009400BA">
        <w:t xml:space="preserve"> the quantity of total electricity consumption as well as the quantities allocated to renewable electricity, grid electricity and electricity generated on site via fuel combustion, as applicable</w:t>
      </w:r>
      <w:r w:rsidR="006E7051">
        <w:t xml:space="preserve">. </w:t>
      </w:r>
      <w:r w:rsidR="009B304C">
        <w:t xml:space="preserve">For </w:t>
      </w:r>
      <w:r w:rsidR="00C835C5">
        <w:t>emissions from combustion of fuels, fuel types</w:t>
      </w:r>
      <w:r w:rsidR="003C23D9">
        <w:t xml:space="preserve"> and quantities and their emissions </w:t>
      </w:r>
      <w:r w:rsidR="00FF277F">
        <w:t>factors are required</w:t>
      </w:r>
      <w:r w:rsidR="00766E77">
        <w:t xml:space="preserve"> to be </w:t>
      </w:r>
      <w:r w:rsidR="00FF277F">
        <w:t>entered.</w:t>
      </w:r>
    </w:p>
    <w:p w14:paraId="04B7F817" w14:textId="2227CFDB" w:rsidR="007B7D40" w:rsidRDefault="007B7D40" w:rsidP="00BB357C">
      <w:pPr>
        <w:pStyle w:val="Heading3"/>
        <w:spacing w:before="200"/>
      </w:pPr>
      <w:bookmarkStart w:id="165" w:name="_Ref129793390"/>
      <w:bookmarkStart w:id="166" w:name="_Ref130301089"/>
      <w:r>
        <w:t xml:space="preserve">Loss </w:t>
      </w:r>
      <w:r w:rsidR="00F01832">
        <w:t>measurement</w:t>
      </w:r>
    </w:p>
    <w:p w14:paraId="01EE1866" w14:textId="01230A31" w:rsidR="00513DDD" w:rsidRDefault="00850DE1" w:rsidP="0036258D">
      <w:r>
        <w:t xml:space="preserve">The </w:t>
      </w:r>
      <w:r w:rsidR="005821B2">
        <w:t xml:space="preserve">post-production </w:t>
      </w:r>
      <w:r w:rsidR="00F41ABC">
        <w:t xml:space="preserve">processes applied to hydrogen are likely to result in losses throughout the supply chain. </w:t>
      </w:r>
      <w:r w:rsidR="00674FC2">
        <w:t xml:space="preserve">These losses need to be measured in a similar manner to the overall production quantity to ensure that </w:t>
      </w:r>
      <w:r w:rsidR="003409AC">
        <w:t xml:space="preserve">emissions associated with lost products </w:t>
      </w:r>
      <w:r w:rsidR="00CB6DA3">
        <w:t>can</w:t>
      </w:r>
      <w:r w:rsidR="003409AC">
        <w:t xml:space="preserve"> be applied over the remaining </w:t>
      </w:r>
      <w:r w:rsidR="00B1675C">
        <w:t xml:space="preserve">batch. If the IPCC and NGER develop </w:t>
      </w:r>
      <w:r w:rsidR="00E24E56">
        <w:t xml:space="preserve">GWP </w:t>
      </w:r>
      <w:r w:rsidR="00B1675C">
        <w:t>for hydrogen in the future, the losses would also be multiplied by this GWP to provide an estimate of emissions attributable to this lost hydrogen.</w:t>
      </w:r>
    </w:p>
    <w:p w14:paraId="1672AC28" w14:textId="30D62A54" w:rsidR="00122329" w:rsidRDefault="00122329" w:rsidP="00122329">
      <w:pPr>
        <w:spacing w:before="120"/>
      </w:pPr>
      <w:r>
        <w:t>Product losses can be estimated from the difference in the quantities of stock received and delivered, measured using the relevant measurement method. It may also be estimated from the storage duration and the daily loss factor for the product and the relevant storage type. Those factors are still to be decided at this time.</w:t>
      </w:r>
    </w:p>
    <w:p w14:paraId="4FB4BFF5" w14:textId="5A52A62B" w:rsidR="00535734" w:rsidRDefault="00535734" w:rsidP="004A64C5">
      <w:r>
        <w:t>The Department is also exploring the option to rely on estimated loss rates as a substitute to direct measurement at the delivery gate. These loss rates could specify an estimated quantity of the product lost per kilometre transported and would differ depending on the mode of transport. For comparison, the NGER Determination sets out estimated loss rates for natural gas transported via transmission and distribution pipelines.</w:t>
      </w:r>
    </w:p>
    <w:p w14:paraId="5ECAD219" w14:textId="5C53FFED" w:rsidR="004F2FD0" w:rsidRPr="003B5FA3" w:rsidRDefault="00E94838" w:rsidP="00514BE9">
      <w:pPr>
        <w:pStyle w:val="Calloutbox"/>
        <w:keepNext/>
        <w:contextualSpacing w:val="0"/>
        <w:rPr>
          <w:b/>
          <w:bCs/>
        </w:rPr>
      </w:pPr>
      <w:r>
        <w:rPr>
          <w:b/>
          <w:bCs/>
        </w:rPr>
        <w:t xml:space="preserve">GO Calculator user guide – </w:t>
      </w:r>
      <w:r w:rsidR="00502AAE">
        <w:rPr>
          <w:b/>
          <w:bCs/>
        </w:rPr>
        <w:t>Inputting</w:t>
      </w:r>
      <w:r>
        <w:rPr>
          <w:b/>
          <w:bCs/>
        </w:rPr>
        <w:t xml:space="preserve"> product losses</w:t>
      </w:r>
    </w:p>
    <w:p w14:paraId="6CBBF292" w14:textId="0A92A998" w:rsidR="007C4F6F" w:rsidRDefault="00E94838" w:rsidP="004F2FD0">
      <w:pPr>
        <w:pStyle w:val="Calloutbox"/>
        <w:spacing w:after="120"/>
        <w:contextualSpacing w:val="0"/>
      </w:pPr>
      <w:r>
        <w:t xml:space="preserve">The product losses </w:t>
      </w:r>
      <w:r w:rsidR="006611DC">
        <w:t xml:space="preserve">needs to </w:t>
      </w:r>
      <w:r>
        <w:t xml:space="preserve">be input in the </w:t>
      </w:r>
      <w:r w:rsidR="006611DC" w:rsidRPr="00CC7982">
        <w:rPr>
          <w:i/>
          <w:iCs/>
        </w:rPr>
        <w:t>VEHICULAR TRANSPORT – LOSSES</w:t>
      </w:r>
      <w:r w:rsidR="006611DC">
        <w:t xml:space="preserve"> section</w:t>
      </w:r>
      <w:r w:rsidR="00D0585B">
        <w:t xml:space="preserve">, </w:t>
      </w:r>
      <w:r w:rsidR="00D0585B" w:rsidRPr="00815675">
        <w:rPr>
          <w:i/>
          <w:iCs/>
        </w:rPr>
        <w:t>PIPELINE – LOSSES</w:t>
      </w:r>
      <w:r w:rsidR="00D0585B">
        <w:t xml:space="preserve"> </w:t>
      </w:r>
      <w:r w:rsidR="00C067D8">
        <w:t xml:space="preserve">and </w:t>
      </w:r>
      <w:r w:rsidR="00C067D8" w:rsidRPr="00815675">
        <w:rPr>
          <w:i/>
          <w:iCs/>
        </w:rPr>
        <w:t>STORAGE -</w:t>
      </w:r>
      <w:r w:rsidR="006611DC" w:rsidRPr="00815675">
        <w:rPr>
          <w:i/>
          <w:iCs/>
        </w:rPr>
        <w:t xml:space="preserve"> </w:t>
      </w:r>
      <w:r w:rsidRPr="00815675">
        <w:rPr>
          <w:i/>
          <w:iCs/>
        </w:rPr>
        <w:t>LOSSES</w:t>
      </w:r>
      <w:r>
        <w:t xml:space="preserve"> section </w:t>
      </w:r>
      <w:r w:rsidR="004F2FD0">
        <w:t>in the “</w:t>
      </w:r>
      <w:r w:rsidR="00615FE4">
        <w:t xml:space="preserve">Transport </w:t>
      </w:r>
      <w:r w:rsidR="009A4ED6">
        <w:t>&amp;</w:t>
      </w:r>
      <w:r w:rsidR="00615FE4">
        <w:t xml:space="preserve"> Storage – Hydrogen</w:t>
      </w:r>
      <w:r w:rsidR="004F2FD0">
        <w:t>” tab</w:t>
      </w:r>
      <w:r w:rsidR="00BB5912">
        <w:t xml:space="preserve"> as applicable</w:t>
      </w:r>
      <w:r w:rsidR="004F2FD0">
        <w:t>.</w:t>
      </w:r>
    </w:p>
    <w:p w14:paraId="43596005" w14:textId="677C267B" w:rsidR="000A3BE7" w:rsidRPr="00957392" w:rsidRDefault="00AE70CF" w:rsidP="00957392">
      <w:pPr>
        <w:pStyle w:val="Calloutbox"/>
      </w:pPr>
      <w:r w:rsidRPr="00957392">
        <w:t>In</w:t>
      </w:r>
      <w:r w:rsidR="002E30FF" w:rsidRPr="00957392">
        <w:t xml:space="preserve"> each of </w:t>
      </w:r>
      <w:r w:rsidRPr="00957392">
        <w:t>these sections, users</w:t>
      </w:r>
      <w:r w:rsidR="004F2FD0" w:rsidRPr="00957392">
        <w:t xml:space="preserve"> can </w:t>
      </w:r>
      <w:r w:rsidRPr="00957392">
        <w:t>provide</w:t>
      </w:r>
      <w:r w:rsidR="002E30FF" w:rsidRPr="00957392">
        <w:t xml:space="preserve"> </w:t>
      </w:r>
      <w:r w:rsidR="00FF7C2E" w:rsidRPr="00957392">
        <w:t xml:space="preserve">either </w:t>
      </w:r>
      <w:r w:rsidRPr="00957392">
        <w:t xml:space="preserve">directly measured </w:t>
      </w:r>
      <w:r w:rsidR="00265680" w:rsidRPr="00957392">
        <w:t>losses</w:t>
      </w:r>
      <w:r w:rsidR="007D2E50" w:rsidRPr="00957392">
        <w:t xml:space="preserve"> or </w:t>
      </w:r>
      <w:r w:rsidRPr="00957392">
        <w:t xml:space="preserve">use an estimation approach. If users select </w:t>
      </w:r>
      <w:r w:rsidR="00F62396" w:rsidRPr="00957392">
        <w:t xml:space="preserve">the </w:t>
      </w:r>
      <w:r w:rsidR="007D2E50" w:rsidRPr="00957392">
        <w:t>estimation approach</w:t>
      </w:r>
      <w:r w:rsidR="00502AAE" w:rsidRPr="00957392">
        <w:t>,</w:t>
      </w:r>
      <w:r w:rsidRPr="00957392">
        <w:t xml:space="preserve"> they will need to specify an applicable loss factor.</w:t>
      </w:r>
    </w:p>
    <w:p w14:paraId="2BD28113" w14:textId="1D460AB7" w:rsidR="00664D45" w:rsidRPr="00621A7C" w:rsidRDefault="00793E88" w:rsidP="00621A7C">
      <w:pPr>
        <w:pStyle w:val="Heading1"/>
        <w:numPr>
          <w:ilvl w:val="0"/>
          <w:numId w:val="0"/>
        </w:numPr>
        <w:rPr>
          <w:rFonts w:asciiTheme="minorHAnsi" w:hAnsiTheme="minorHAnsi" w:cstheme="minorHAnsi"/>
          <w:sz w:val="24"/>
          <w:szCs w:val="24"/>
        </w:rPr>
      </w:pPr>
      <w:r w:rsidRPr="00621A7C">
        <w:rPr>
          <w:rFonts w:asciiTheme="minorHAnsi" w:hAnsiTheme="minorHAnsi" w:cstheme="minorHAnsi"/>
          <w:sz w:val="24"/>
          <w:szCs w:val="24"/>
        </w:rPr>
        <w:br w:type="page"/>
      </w:r>
    </w:p>
    <w:p w14:paraId="38A1D33F" w14:textId="6FEBE5F7" w:rsidR="00A72017" w:rsidRDefault="00946B7E" w:rsidP="00A72017">
      <w:pPr>
        <w:pStyle w:val="Heading1"/>
      </w:pPr>
      <w:bookmarkStart w:id="167" w:name="_Ref130561849"/>
      <w:bookmarkStart w:id="168" w:name="_Ref130996523"/>
      <w:bookmarkStart w:id="169" w:name="_Toc146029798"/>
      <w:r>
        <w:t>Data</w:t>
      </w:r>
      <w:r w:rsidR="00A72017">
        <w:t xml:space="preserve"> sources</w:t>
      </w:r>
      <w:bookmarkEnd w:id="165"/>
      <w:bookmarkEnd w:id="166"/>
      <w:bookmarkEnd w:id="167"/>
      <w:bookmarkEnd w:id="168"/>
      <w:bookmarkEnd w:id="169"/>
    </w:p>
    <w:tbl>
      <w:tblPr>
        <w:tblStyle w:val="TableGrid"/>
        <w:tblpPr w:leftFromText="180" w:rightFromText="180" w:vertAnchor="text" w:horzAnchor="margin" w:tblpY="-46"/>
        <w:tblW w:w="0" w:type="auto"/>
        <w:tblLook w:val="04A0" w:firstRow="1" w:lastRow="0" w:firstColumn="1" w:lastColumn="0" w:noHBand="0" w:noVBand="1"/>
      </w:tblPr>
      <w:tblGrid>
        <w:gridCol w:w="9006"/>
      </w:tblGrid>
      <w:tr w:rsidR="00F245DA" w14:paraId="25F6322B" w14:textId="77777777" w:rsidTr="00927685">
        <w:trPr>
          <w:trHeight w:val="1304"/>
        </w:trPr>
        <w:tc>
          <w:tcPr>
            <w:tcW w:w="9006" w:type="dxa"/>
            <w:shd w:val="clear" w:color="auto" w:fill="D9D9D9" w:themeFill="background1" w:themeFillShade="D9"/>
          </w:tcPr>
          <w:p w14:paraId="5C0B8B2C" w14:textId="77777777" w:rsidR="004B54AC" w:rsidRPr="00F604EC" w:rsidRDefault="004B54AC" w:rsidP="00927685">
            <w:pPr>
              <w:spacing w:before="120"/>
              <w:rPr>
                <w:b/>
                <w:bCs/>
              </w:rPr>
            </w:pPr>
            <w:r>
              <w:rPr>
                <w:b/>
                <w:bCs/>
              </w:rPr>
              <w:t>Feedback sought:</w:t>
            </w:r>
          </w:p>
          <w:p w14:paraId="2B9C4B01" w14:textId="5F5F9F40" w:rsidR="004B54AC" w:rsidRDefault="004B54AC" w:rsidP="00927685">
            <w:pPr>
              <w:spacing w:before="120"/>
            </w:pPr>
            <w:r>
              <w:t xml:space="preserve">The Department is seeking feedback on </w:t>
            </w:r>
            <w:r w:rsidR="008866BD">
              <w:t>the proposed data sources for the GO Scheme and w</w:t>
            </w:r>
            <w:r w:rsidR="00947AEC">
              <w:t>hether any additional data sources should be considered</w:t>
            </w:r>
            <w:r>
              <w:t>.</w:t>
            </w:r>
          </w:p>
        </w:tc>
      </w:tr>
    </w:tbl>
    <w:p w14:paraId="583F0565" w14:textId="23244F2A" w:rsidR="00642D53" w:rsidRDefault="00D82B9A" w:rsidP="004A5BE8">
      <w:pPr>
        <w:spacing w:before="120"/>
      </w:pPr>
      <w:r>
        <w:t xml:space="preserve">The GO scheme is proposed to </w:t>
      </w:r>
      <w:r w:rsidR="00911A55">
        <w:t xml:space="preserve">leverage numerous domestic and international </w:t>
      </w:r>
      <w:r w:rsidR="00DD45FD">
        <w:t xml:space="preserve">schemes and providers </w:t>
      </w:r>
      <w:r w:rsidR="00402E0E">
        <w:t>of measurement</w:t>
      </w:r>
      <w:r w:rsidR="00DD45FD">
        <w:t xml:space="preserve"> standards, default factors and other variables used to estimate emissions. </w:t>
      </w:r>
      <w:r w:rsidR="007C4614">
        <w:t xml:space="preserve">This approach is intended to reduce the regulatory burden of the GO scheme and ensure alignment with </w:t>
      </w:r>
      <w:r w:rsidR="00B2078F">
        <w:t>well-established</w:t>
      </w:r>
      <w:r w:rsidR="003F3D44">
        <w:t xml:space="preserve"> practices</w:t>
      </w:r>
      <w:r w:rsidR="00B2078F">
        <w:t xml:space="preserve"> in the emissions accounting environment</w:t>
      </w:r>
      <w:r w:rsidR="003F3D44">
        <w:t xml:space="preserve">. </w:t>
      </w:r>
      <w:r w:rsidR="48802923">
        <w:t xml:space="preserve">The measurement standards will primarily be based upon the approach used in the NGER </w:t>
      </w:r>
      <w:r w:rsidR="00DB4CD0">
        <w:t>scheme</w:t>
      </w:r>
      <w:r w:rsidR="48802923">
        <w:t xml:space="preserve">, with default factors drawn from numerous sources including NGER, NGA Factors, </w:t>
      </w:r>
      <w:proofErr w:type="spellStart"/>
      <w:r w:rsidR="48802923">
        <w:t>EcoInvent</w:t>
      </w:r>
      <w:proofErr w:type="spellEnd"/>
      <w:r w:rsidR="48802923">
        <w:t xml:space="preserve"> and </w:t>
      </w:r>
      <w:proofErr w:type="spellStart"/>
      <w:r w:rsidR="004807FB">
        <w:t>AustLCI</w:t>
      </w:r>
      <w:proofErr w:type="spellEnd"/>
      <w:r w:rsidR="48802923">
        <w:t xml:space="preserve">. </w:t>
      </w:r>
    </w:p>
    <w:p w14:paraId="081DB7EC" w14:textId="34E09993" w:rsidR="00642D53" w:rsidRDefault="0028529B" w:rsidP="00DD45FD">
      <w:r>
        <w:t xml:space="preserve">However, there may be additional data sources </w:t>
      </w:r>
      <w:r w:rsidR="00861F98">
        <w:t>which</w:t>
      </w:r>
      <w:r>
        <w:t xml:space="preserve"> could be appropriate for use in the GO scheme have not been identified in this paper. Feedback is sought on </w:t>
      </w:r>
      <w:r w:rsidR="009F77DF">
        <w:t>whether there are additional data sources that should be included in the GO scheme.</w:t>
      </w:r>
    </w:p>
    <w:p w14:paraId="4545B73D" w14:textId="77777777" w:rsidR="00143AF2" w:rsidRPr="003B5FA3" w:rsidRDefault="00143AF2" w:rsidP="00143AF2">
      <w:pPr>
        <w:pStyle w:val="Calloutbox"/>
        <w:keepNext/>
        <w:spacing w:before="240"/>
        <w:contextualSpacing w:val="0"/>
        <w:rPr>
          <w:b/>
          <w:bCs/>
        </w:rPr>
      </w:pPr>
      <w:r>
        <w:rPr>
          <w:b/>
          <w:bCs/>
        </w:rPr>
        <w:t>GO Calculator user guide – Key values</w:t>
      </w:r>
    </w:p>
    <w:p w14:paraId="76EEE149" w14:textId="09C52420" w:rsidR="00143AF2" w:rsidRDefault="00143AF2" w:rsidP="00143AF2">
      <w:pPr>
        <w:pStyle w:val="Calloutbox"/>
        <w:spacing w:after="0"/>
        <w:contextualSpacing w:val="0"/>
      </w:pPr>
      <w:r>
        <w:t>The default values and their sources for the emissions factors, energy contents, electricity constants fuel efficiencies, as well as steam properties, Global Warming Potentials and unit conversion factors used in the Calculator are listed in the “Key Values” tab.</w:t>
      </w:r>
    </w:p>
    <w:p w14:paraId="0C02286E" w14:textId="77777777" w:rsidR="007322C5" w:rsidRDefault="007322C5" w:rsidP="00143AF2">
      <w:pPr>
        <w:pStyle w:val="Calloutbox"/>
        <w:spacing w:after="0"/>
        <w:contextualSpacing w:val="0"/>
      </w:pPr>
    </w:p>
    <w:p w14:paraId="284F8553" w14:textId="66725FCB" w:rsidR="007322C5" w:rsidRDefault="007322C5" w:rsidP="00143AF2">
      <w:pPr>
        <w:pStyle w:val="Calloutbox"/>
        <w:spacing w:after="0"/>
        <w:contextualSpacing w:val="0"/>
      </w:pPr>
      <w:r>
        <w:t xml:space="preserve">Users may also have the option of providing bespoke values throughout the </w:t>
      </w:r>
      <w:r w:rsidR="00FA1A36">
        <w:t xml:space="preserve">Calculator. </w:t>
      </w:r>
    </w:p>
    <w:p w14:paraId="276FA02A" w14:textId="77777777" w:rsidR="00CB46C9" w:rsidRDefault="00CB46C9" w:rsidP="004E41EB">
      <w:pPr>
        <w:pStyle w:val="Heading4"/>
        <w:numPr>
          <w:ilvl w:val="0"/>
          <w:numId w:val="0"/>
        </w:numPr>
        <w:spacing w:before="240"/>
      </w:pPr>
      <w:r>
        <w:t>Activity Definitions</w:t>
      </w:r>
    </w:p>
    <w:p w14:paraId="00602B2D" w14:textId="53AC50FF" w:rsidR="00CB46C9" w:rsidRPr="00CE11BA" w:rsidRDefault="00CB46C9" w:rsidP="00CB46C9">
      <w:pPr>
        <w:rPr>
          <w:vertAlign w:val="subscript"/>
        </w:rPr>
      </w:pPr>
      <w:r>
        <w:t xml:space="preserve">The table below provides the definition source for the various activities that form each emissions source that must be reported under the GO scheme. </w:t>
      </w:r>
      <w:r w:rsidR="004566F3">
        <w:t xml:space="preserve"> The emissions sources included in the product facility definition </w:t>
      </w:r>
      <w:r w:rsidR="00CE11BA">
        <w:t xml:space="preserve">are based on the types of emissions sources and activities defined in the NGER </w:t>
      </w:r>
      <w:r w:rsidR="00DB4CD0">
        <w:t xml:space="preserve">Measurement </w:t>
      </w:r>
      <w:r w:rsidR="00CE11BA">
        <w:t>Determination</w:t>
      </w:r>
      <w:r w:rsidR="49EF1B4B">
        <w:t xml:space="preserve"> where appropriate</w:t>
      </w:r>
      <w:r w:rsidR="00CE11BA">
        <w:t>. The table below provides the proposed emissions source definitions.</w:t>
      </w:r>
    </w:p>
    <w:p w14:paraId="04650E81" w14:textId="369A57E3" w:rsidR="00CB46C9" w:rsidRDefault="00CB46C9" w:rsidP="00621A7C">
      <w:pPr>
        <w:pStyle w:val="Table"/>
        <w:keepNext/>
        <w:spacing w:before="200"/>
      </w:pPr>
      <w:bookmarkStart w:id="170" w:name="_Toc130914118"/>
      <w:bookmarkStart w:id="171" w:name="_Toc130914689"/>
      <w:r>
        <w:t xml:space="preserve">Table </w:t>
      </w:r>
      <w:r w:rsidR="008941FC">
        <w:t>4.1</w:t>
      </w:r>
      <w:r>
        <w:t xml:space="preserve"> Activity definitions</w:t>
      </w:r>
      <w:bookmarkEnd w:id="170"/>
      <w:bookmarkEnd w:id="171"/>
    </w:p>
    <w:tbl>
      <w:tblPr>
        <w:tblStyle w:val="TableGrid"/>
        <w:tblW w:w="5000" w:type="pct"/>
        <w:tblLook w:val="04A0" w:firstRow="1" w:lastRow="0" w:firstColumn="1" w:lastColumn="0" w:noHBand="0" w:noVBand="1"/>
      </w:tblPr>
      <w:tblGrid>
        <w:gridCol w:w="2829"/>
        <w:gridCol w:w="6187"/>
      </w:tblGrid>
      <w:tr w:rsidR="00CB46C9" w:rsidRPr="004036DA" w14:paraId="7F23E4A4" w14:textId="77777777" w:rsidTr="000C5385">
        <w:trPr>
          <w:trHeight w:val="397"/>
        </w:trPr>
        <w:tc>
          <w:tcPr>
            <w:tcW w:w="1569" w:type="pct"/>
            <w:shd w:val="clear" w:color="auto" w:fill="AEAAAA" w:themeFill="background2" w:themeFillShade="BF"/>
            <w:vAlign w:val="center"/>
          </w:tcPr>
          <w:p w14:paraId="33EA2456" w14:textId="77777777" w:rsidR="00CB46C9" w:rsidRPr="004036DA" w:rsidRDefault="00CB46C9" w:rsidP="000C5385">
            <w:pPr>
              <w:rPr>
                <w:b/>
                <w:bCs/>
              </w:rPr>
            </w:pPr>
            <w:r w:rsidRPr="004036DA">
              <w:rPr>
                <w:b/>
                <w:bCs/>
              </w:rPr>
              <w:t>Emissions source</w:t>
            </w:r>
          </w:p>
        </w:tc>
        <w:tc>
          <w:tcPr>
            <w:tcW w:w="3431" w:type="pct"/>
            <w:shd w:val="clear" w:color="auto" w:fill="AEAAAA" w:themeFill="background2" w:themeFillShade="BF"/>
            <w:vAlign w:val="center"/>
          </w:tcPr>
          <w:p w14:paraId="3880C54E" w14:textId="77777777" w:rsidR="00CB46C9" w:rsidRPr="004036DA" w:rsidRDefault="00CB46C9" w:rsidP="000C5385">
            <w:pPr>
              <w:rPr>
                <w:b/>
                <w:bCs/>
              </w:rPr>
            </w:pPr>
            <w:r w:rsidRPr="004036DA">
              <w:rPr>
                <w:b/>
                <w:bCs/>
              </w:rPr>
              <w:t>Activity</w:t>
            </w:r>
          </w:p>
        </w:tc>
      </w:tr>
      <w:tr w:rsidR="00CB46C9" w14:paraId="59D36131" w14:textId="77777777" w:rsidTr="000C5385">
        <w:trPr>
          <w:trHeight w:val="1417"/>
        </w:trPr>
        <w:tc>
          <w:tcPr>
            <w:tcW w:w="1569" w:type="pct"/>
          </w:tcPr>
          <w:p w14:paraId="1F076396" w14:textId="77777777" w:rsidR="00CB46C9" w:rsidRDefault="00CB46C9" w:rsidP="00561F79">
            <w:r>
              <w:t>Fuel</w:t>
            </w:r>
          </w:p>
        </w:tc>
        <w:tc>
          <w:tcPr>
            <w:tcW w:w="3431" w:type="pct"/>
          </w:tcPr>
          <w:p w14:paraId="04FE6E83" w14:textId="357A2A09" w:rsidR="00CB46C9" w:rsidRDefault="00CB46C9" w:rsidP="00561F79">
            <w:r>
              <w:t>Solid fuel combustion</w:t>
            </w:r>
            <w:r w:rsidR="551A1BF1">
              <w:t xml:space="preserve"> for;</w:t>
            </w:r>
          </w:p>
          <w:p w14:paraId="396DE124" w14:textId="7B9B1026" w:rsidR="00CB46C9" w:rsidRDefault="551A1BF1" w:rsidP="03E41952">
            <w:pPr>
              <w:pStyle w:val="ListParagraph"/>
              <w:numPr>
                <w:ilvl w:val="0"/>
                <w:numId w:val="5"/>
              </w:numPr>
            </w:pPr>
            <w:r>
              <w:t>stationary purposes</w:t>
            </w:r>
          </w:p>
          <w:p w14:paraId="6599087A" w14:textId="5CDF74D3" w:rsidR="00CB46C9" w:rsidRDefault="551A1BF1" w:rsidP="03E41952">
            <w:pPr>
              <w:pStyle w:val="ListParagraph"/>
              <w:numPr>
                <w:ilvl w:val="0"/>
                <w:numId w:val="5"/>
              </w:numPr>
            </w:pPr>
            <w:r>
              <w:t>transport purposes</w:t>
            </w:r>
          </w:p>
          <w:p w14:paraId="187DA5FB" w14:textId="7D0C0D4C" w:rsidR="00CB46C9" w:rsidRDefault="551A1BF1" w:rsidP="03E41952">
            <w:pPr>
              <w:pStyle w:val="ListParagraph"/>
              <w:numPr>
                <w:ilvl w:val="0"/>
                <w:numId w:val="5"/>
              </w:numPr>
            </w:pPr>
            <w:r>
              <w:t>electricity generation</w:t>
            </w:r>
          </w:p>
          <w:p w14:paraId="79843CA4" w14:textId="7A47E277" w:rsidR="00CB46C9" w:rsidRDefault="1530CADA" w:rsidP="03E41952">
            <w:pPr>
              <w:pStyle w:val="ListParagraph"/>
              <w:numPr>
                <w:ilvl w:val="0"/>
                <w:numId w:val="5"/>
              </w:numPr>
            </w:pPr>
            <w:r>
              <w:t>steam generation</w:t>
            </w:r>
          </w:p>
        </w:tc>
      </w:tr>
      <w:tr w:rsidR="00CB46C9" w14:paraId="377B0403" w14:textId="77777777" w:rsidTr="000C5385">
        <w:trPr>
          <w:trHeight w:val="1417"/>
        </w:trPr>
        <w:tc>
          <w:tcPr>
            <w:tcW w:w="1569" w:type="pct"/>
          </w:tcPr>
          <w:p w14:paraId="1D447443" w14:textId="77777777" w:rsidR="00CB46C9" w:rsidRDefault="00CB46C9" w:rsidP="00561F79">
            <w:r>
              <w:t>Fuel</w:t>
            </w:r>
          </w:p>
        </w:tc>
        <w:tc>
          <w:tcPr>
            <w:tcW w:w="3431" w:type="pct"/>
          </w:tcPr>
          <w:p w14:paraId="1FCB514F" w14:textId="4BC009DB" w:rsidR="00CB46C9" w:rsidRDefault="00CB46C9" w:rsidP="03E41952">
            <w:r>
              <w:t>Gaseous fuel combustion</w:t>
            </w:r>
            <w:r w:rsidR="0E60DBF9">
              <w:t xml:space="preserve"> for;</w:t>
            </w:r>
          </w:p>
          <w:p w14:paraId="545CC6DF" w14:textId="7B9B1026" w:rsidR="00CB46C9" w:rsidRDefault="0E60DBF9" w:rsidP="03E41952">
            <w:pPr>
              <w:pStyle w:val="ListParagraph"/>
              <w:numPr>
                <w:ilvl w:val="0"/>
                <w:numId w:val="5"/>
              </w:numPr>
            </w:pPr>
            <w:r>
              <w:t>stationary purposes</w:t>
            </w:r>
          </w:p>
          <w:p w14:paraId="0E0AB30C" w14:textId="5CDF74D3" w:rsidR="00CB46C9" w:rsidRDefault="0E60DBF9" w:rsidP="03E41952">
            <w:pPr>
              <w:pStyle w:val="ListParagraph"/>
              <w:numPr>
                <w:ilvl w:val="0"/>
                <w:numId w:val="5"/>
              </w:numPr>
            </w:pPr>
            <w:r>
              <w:t>transport purposes</w:t>
            </w:r>
          </w:p>
          <w:p w14:paraId="69F81F60" w14:textId="7D0C0D4C" w:rsidR="00CB46C9" w:rsidRDefault="0E60DBF9" w:rsidP="03E41952">
            <w:pPr>
              <w:pStyle w:val="ListParagraph"/>
              <w:numPr>
                <w:ilvl w:val="0"/>
                <w:numId w:val="5"/>
              </w:numPr>
            </w:pPr>
            <w:r>
              <w:t>electricity generation</w:t>
            </w:r>
          </w:p>
          <w:p w14:paraId="662CF18C" w14:textId="5DDB17CE" w:rsidR="00CB46C9" w:rsidRDefault="4EDF44F1" w:rsidP="03E41952">
            <w:pPr>
              <w:pStyle w:val="ListParagraph"/>
              <w:numPr>
                <w:ilvl w:val="0"/>
                <w:numId w:val="5"/>
              </w:numPr>
            </w:pPr>
            <w:r>
              <w:t>steam generation</w:t>
            </w:r>
          </w:p>
        </w:tc>
      </w:tr>
      <w:tr w:rsidR="00CB46C9" w14:paraId="72498617" w14:textId="77777777" w:rsidTr="000C5385">
        <w:trPr>
          <w:trHeight w:val="1417"/>
        </w:trPr>
        <w:tc>
          <w:tcPr>
            <w:tcW w:w="1569" w:type="pct"/>
          </w:tcPr>
          <w:p w14:paraId="0555B744" w14:textId="77777777" w:rsidR="00CB46C9" w:rsidRDefault="00CB46C9" w:rsidP="00561F79">
            <w:r>
              <w:t>Fuel</w:t>
            </w:r>
          </w:p>
        </w:tc>
        <w:tc>
          <w:tcPr>
            <w:tcW w:w="3431" w:type="pct"/>
          </w:tcPr>
          <w:p w14:paraId="506CF032" w14:textId="76C29E99" w:rsidR="00CB46C9" w:rsidRDefault="00CB46C9" w:rsidP="03E41952">
            <w:r>
              <w:t>Liquid fuel combustion</w:t>
            </w:r>
            <w:r w:rsidR="3593BA9D">
              <w:t xml:space="preserve"> for;</w:t>
            </w:r>
          </w:p>
          <w:p w14:paraId="29C0C1F4" w14:textId="7B9B1026" w:rsidR="00CB46C9" w:rsidRDefault="3593BA9D" w:rsidP="03E41952">
            <w:pPr>
              <w:pStyle w:val="ListParagraph"/>
              <w:numPr>
                <w:ilvl w:val="0"/>
                <w:numId w:val="5"/>
              </w:numPr>
            </w:pPr>
            <w:r>
              <w:t>stationary purposes</w:t>
            </w:r>
          </w:p>
          <w:p w14:paraId="7F373501" w14:textId="5CDF74D3" w:rsidR="00CB46C9" w:rsidRDefault="3593BA9D" w:rsidP="03E41952">
            <w:pPr>
              <w:pStyle w:val="ListParagraph"/>
              <w:numPr>
                <w:ilvl w:val="0"/>
                <w:numId w:val="5"/>
              </w:numPr>
            </w:pPr>
            <w:r>
              <w:t>transport purposes</w:t>
            </w:r>
          </w:p>
          <w:p w14:paraId="5B6F6894" w14:textId="7D0C0D4C" w:rsidR="00CB46C9" w:rsidRDefault="3593BA9D" w:rsidP="03E41952">
            <w:pPr>
              <w:pStyle w:val="ListParagraph"/>
              <w:numPr>
                <w:ilvl w:val="0"/>
                <w:numId w:val="5"/>
              </w:numPr>
            </w:pPr>
            <w:r>
              <w:t>electricity generation</w:t>
            </w:r>
          </w:p>
          <w:p w14:paraId="44646CD1" w14:textId="1213C984" w:rsidR="00CB46C9" w:rsidRDefault="6C21A0E6" w:rsidP="03E41952">
            <w:pPr>
              <w:pStyle w:val="ListParagraph"/>
              <w:numPr>
                <w:ilvl w:val="0"/>
                <w:numId w:val="5"/>
              </w:numPr>
            </w:pPr>
            <w:r>
              <w:t>steam generation</w:t>
            </w:r>
          </w:p>
        </w:tc>
      </w:tr>
      <w:tr w:rsidR="00CB46C9" w14:paraId="5F2923A1" w14:textId="77777777" w:rsidTr="000C5385">
        <w:trPr>
          <w:trHeight w:val="397"/>
        </w:trPr>
        <w:tc>
          <w:tcPr>
            <w:tcW w:w="1569" w:type="pct"/>
            <w:vAlign w:val="center"/>
          </w:tcPr>
          <w:p w14:paraId="09AA0C68" w14:textId="77777777" w:rsidR="00CB46C9" w:rsidRDefault="00CB46C9" w:rsidP="000C5385">
            <w:r>
              <w:t>Fuel</w:t>
            </w:r>
          </w:p>
        </w:tc>
        <w:tc>
          <w:tcPr>
            <w:tcW w:w="3431" w:type="pct"/>
            <w:vAlign w:val="center"/>
          </w:tcPr>
          <w:p w14:paraId="5BAAA28F" w14:textId="77777777" w:rsidR="00CB46C9" w:rsidRDefault="00CB46C9" w:rsidP="000C5385">
            <w:r>
              <w:t>Blended fuels combustion</w:t>
            </w:r>
          </w:p>
        </w:tc>
      </w:tr>
      <w:tr w:rsidR="00CB46C9" w14:paraId="6A21C621" w14:textId="77777777" w:rsidTr="000C5385">
        <w:trPr>
          <w:trHeight w:val="397"/>
        </w:trPr>
        <w:tc>
          <w:tcPr>
            <w:tcW w:w="1569" w:type="pct"/>
            <w:vAlign w:val="center"/>
          </w:tcPr>
          <w:p w14:paraId="4848BE97" w14:textId="77777777" w:rsidR="00CB46C9" w:rsidRDefault="00CB46C9" w:rsidP="000C5385">
            <w:r>
              <w:t>Fuel</w:t>
            </w:r>
          </w:p>
        </w:tc>
        <w:tc>
          <w:tcPr>
            <w:tcW w:w="3431" w:type="pct"/>
            <w:vAlign w:val="center"/>
          </w:tcPr>
          <w:p w14:paraId="29C47E4C" w14:textId="77777777" w:rsidR="00CB46C9" w:rsidRDefault="00CB46C9" w:rsidP="000C5385">
            <w:r>
              <w:t>Estimation of energy for certain purposes</w:t>
            </w:r>
          </w:p>
        </w:tc>
      </w:tr>
      <w:tr w:rsidR="03E41952" w14:paraId="3D577BBE" w14:textId="77777777" w:rsidTr="000C5385">
        <w:trPr>
          <w:trHeight w:val="397"/>
        </w:trPr>
        <w:tc>
          <w:tcPr>
            <w:tcW w:w="1569" w:type="pct"/>
            <w:vAlign w:val="center"/>
          </w:tcPr>
          <w:p w14:paraId="3779D521" w14:textId="41DDD5B4" w:rsidR="272BC100" w:rsidRDefault="59327071" w:rsidP="000C5385">
            <w:r>
              <w:t>Fugitive emissions</w:t>
            </w:r>
          </w:p>
        </w:tc>
        <w:tc>
          <w:tcPr>
            <w:tcW w:w="3431" w:type="pct"/>
            <w:vAlign w:val="center"/>
          </w:tcPr>
          <w:p w14:paraId="655F0121" w14:textId="6DF47BC1" w:rsidR="272BC100" w:rsidRDefault="59327071" w:rsidP="000C5385">
            <w:r>
              <w:t>Process vents and leaks of gas handling equipment</w:t>
            </w:r>
          </w:p>
        </w:tc>
      </w:tr>
      <w:tr w:rsidR="00CB46C9" w14:paraId="10B99693" w14:textId="77777777" w:rsidTr="000C5385">
        <w:trPr>
          <w:trHeight w:val="397"/>
        </w:trPr>
        <w:tc>
          <w:tcPr>
            <w:tcW w:w="1569" w:type="pct"/>
            <w:vAlign w:val="center"/>
          </w:tcPr>
          <w:p w14:paraId="2CBAC8AA" w14:textId="77777777" w:rsidR="00CB46C9" w:rsidRDefault="00CB46C9" w:rsidP="000C5385">
            <w:r>
              <w:t>Chemicals</w:t>
            </w:r>
          </w:p>
        </w:tc>
        <w:tc>
          <w:tcPr>
            <w:tcW w:w="3431" w:type="pct"/>
            <w:vAlign w:val="center"/>
          </w:tcPr>
          <w:p w14:paraId="07E16DC0" w14:textId="20F447B6" w:rsidR="00CB46C9" w:rsidRDefault="118A716B" w:rsidP="000C5385">
            <w:r>
              <w:t>Process inputs used</w:t>
            </w:r>
            <w:r w:rsidR="00CB46C9">
              <w:t xml:space="preserve"> in certain production methods</w:t>
            </w:r>
          </w:p>
        </w:tc>
      </w:tr>
      <w:tr w:rsidR="00CB46C9" w14:paraId="2E043038" w14:textId="77777777" w:rsidTr="000C5385">
        <w:trPr>
          <w:trHeight w:val="397"/>
        </w:trPr>
        <w:tc>
          <w:tcPr>
            <w:tcW w:w="1569" w:type="pct"/>
            <w:vAlign w:val="center"/>
          </w:tcPr>
          <w:p w14:paraId="3AD23EDF" w14:textId="77777777" w:rsidR="00CB46C9" w:rsidRDefault="00CB46C9" w:rsidP="000C5385">
            <w:r>
              <w:t>Water</w:t>
            </w:r>
          </w:p>
        </w:tc>
        <w:tc>
          <w:tcPr>
            <w:tcW w:w="3431" w:type="pct"/>
            <w:vAlign w:val="center"/>
          </w:tcPr>
          <w:p w14:paraId="2EC2D711" w14:textId="4AF2AC31" w:rsidR="00CB46C9" w:rsidRDefault="7A26CBEB" w:rsidP="000C5385">
            <w:pPr>
              <w:spacing w:line="259" w:lineRule="auto"/>
            </w:pPr>
            <w:r>
              <w:t>Water consumption in certain production methods</w:t>
            </w:r>
          </w:p>
        </w:tc>
      </w:tr>
      <w:tr w:rsidR="00CB46C9" w14:paraId="7B281073" w14:textId="77777777" w:rsidTr="000C5385">
        <w:trPr>
          <w:trHeight w:val="624"/>
        </w:trPr>
        <w:tc>
          <w:tcPr>
            <w:tcW w:w="1569" w:type="pct"/>
          </w:tcPr>
          <w:p w14:paraId="71BA92E8" w14:textId="77777777" w:rsidR="00CB46C9" w:rsidRPr="00B655CB" w:rsidRDefault="00CB46C9" w:rsidP="00561F79">
            <w:r w:rsidRPr="00B655CB">
              <w:t>Steam</w:t>
            </w:r>
          </w:p>
        </w:tc>
        <w:tc>
          <w:tcPr>
            <w:tcW w:w="3431" w:type="pct"/>
          </w:tcPr>
          <w:p w14:paraId="2BF6FC50" w14:textId="77777777" w:rsidR="00B655CB" w:rsidRPr="00B655CB" w:rsidRDefault="00CB46C9" w:rsidP="00561F79">
            <w:r w:rsidRPr="00B655CB">
              <w:t>Energy consumption</w:t>
            </w:r>
          </w:p>
          <w:p w14:paraId="1DA2C1D3" w14:textId="651B09BF" w:rsidR="00CB46C9" w:rsidRPr="00B655CB" w:rsidRDefault="00CB46C9" w:rsidP="00B655CB">
            <w:pPr>
              <w:pStyle w:val="ListParagraph"/>
              <w:numPr>
                <w:ilvl w:val="0"/>
                <w:numId w:val="5"/>
              </w:numPr>
            </w:pPr>
            <w:r w:rsidRPr="00B655CB">
              <w:t>non-electricity Scope 2</w:t>
            </w:r>
          </w:p>
        </w:tc>
      </w:tr>
      <w:tr w:rsidR="00CB46C9" w14:paraId="2D4A07F5" w14:textId="77777777" w:rsidTr="000C5385">
        <w:trPr>
          <w:trHeight w:val="624"/>
        </w:trPr>
        <w:tc>
          <w:tcPr>
            <w:tcW w:w="1569" w:type="pct"/>
          </w:tcPr>
          <w:p w14:paraId="4B0C0589" w14:textId="77777777" w:rsidR="00CB46C9" w:rsidRDefault="00CB46C9" w:rsidP="00561F79">
            <w:r>
              <w:t>Cooling</w:t>
            </w:r>
          </w:p>
        </w:tc>
        <w:tc>
          <w:tcPr>
            <w:tcW w:w="3431" w:type="pct"/>
          </w:tcPr>
          <w:p w14:paraId="19D35C13" w14:textId="77777777" w:rsidR="00B655CB" w:rsidRDefault="00CB46C9" w:rsidP="00561F79">
            <w:r>
              <w:t>Energy consumption</w:t>
            </w:r>
          </w:p>
          <w:p w14:paraId="273D390E" w14:textId="76C74353" w:rsidR="00CB46C9" w:rsidRDefault="00CB46C9" w:rsidP="00B655CB">
            <w:pPr>
              <w:pStyle w:val="ListParagraph"/>
              <w:numPr>
                <w:ilvl w:val="0"/>
                <w:numId w:val="5"/>
              </w:numPr>
            </w:pPr>
            <w:r>
              <w:t>non-electricity Scope 2</w:t>
            </w:r>
          </w:p>
        </w:tc>
      </w:tr>
      <w:tr w:rsidR="00CB46C9" w14:paraId="313C96F8" w14:textId="77777777" w:rsidTr="000C5385">
        <w:trPr>
          <w:trHeight w:val="397"/>
        </w:trPr>
        <w:tc>
          <w:tcPr>
            <w:tcW w:w="1569" w:type="pct"/>
            <w:vAlign w:val="center"/>
          </w:tcPr>
          <w:p w14:paraId="0C200A2A" w14:textId="77777777" w:rsidR="00CB46C9" w:rsidRDefault="00CB46C9" w:rsidP="000C5385">
            <w:r>
              <w:t>Electricity</w:t>
            </w:r>
          </w:p>
        </w:tc>
        <w:tc>
          <w:tcPr>
            <w:tcW w:w="3431" w:type="pct"/>
            <w:vAlign w:val="center"/>
          </w:tcPr>
          <w:p w14:paraId="44329DA9" w14:textId="0AC3AA12" w:rsidR="00CB46C9" w:rsidRDefault="00CB46C9" w:rsidP="000C5385">
            <w:r>
              <w:t>Scope 2 emissions</w:t>
            </w:r>
            <w:r w:rsidR="0D1CBE29">
              <w:t xml:space="preserve"> from </w:t>
            </w:r>
            <w:r w:rsidR="0046723D">
              <w:t xml:space="preserve">grid </w:t>
            </w:r>
            <w:r w:rsidR="0D1CBE29">
              <w:t>imported electricity</w:t>
            </w:r>
          </w:p>
        </w:tc>
      </w:tr>
    </w:tbl>
    <w:p w14:paraId="666987FF" w14:textId="77777777" w:rsidR="007E4FE1" w:rsidRPr="007E4FE1" w:rsidRDefault="007E4FE1" w:rsidP="007E4FE1">
      <w:bookmarkStart w:id="172" w:name="_Ref142665504"/>
    </w:p>
    <w:p w14:paraId="28561AA5" w14:textId="77777777" w:rsidR="00830241" w:rsidRDefault="00830241">
      <w:pPr>
        <w:rPr>
          <w:rFonts w:asciiTheme="majorHAnsi" w:eastAsiaTheme="majorEastAsia" w:hAnsiTheme="majorHAnsi" w:cstheme="majorBidi"/>
          <w:color w:val="44546A"/>
          <w:sz w:val="40"/>
          <w:szCs w:val="48"/>
        </w:rPr>
      </w:pPr>
      <w:r>
        <w:br w:type="page"/>
      </w:r>
    </w:p>
    <w:p w14:paraId="6CB3EFFD" w14:textId="7402BE94" w:rsidR="00A96DAE" w:rsidRDefault="0094292C" w:rsidP="00B6409F">
      <w:pPr>
        <w:pStyle w:val="Heading2"/>
        <w:spacing w:before="0"/>
      </w:pPr>
      <w:bookmarkStart w:id="173" w:name="_Toc146029799"/>
      <w:r>
        <w:t xml:space="preserve">Measurement </w:t>
      </w:r>
      <w:r w:rsidR="00FC4C17">
        <w:t>guidance</w:t>
      </w:r>
      <w:bookmarkEnd w:id="172"/>
      <w:bookmarkEnd w:id="173"/>
    </w:p>
    <w:p w14:paraId="57171ACE" w14:textId="2FE03BBD" w:rsidR="0094292C" w:rsidRDefault="002940E9" w:rsidP="00BC4C78">
      <w:r>
        <w:t xml:space="preserve">The measurement standards for the GO scheme are based upon the approach currently used in the NGER </w:t>
      </w:r>
      <w:r w:rsidR="00F602B5">
        <w:t>scheme</w:t>
      </w:r>
      <w:r>
        <w:t>.</w:t>
      </w:r>
      <w:r w:rsidR="00721454">
        <w:t xml:space="preserve"> This approach will allow businesses that are currently reporting under NGER to use similar measurement approaches in the GO scheme. </w:t>
      </w:r>
      <w:r w:rsidR="00A03B4B">
        <w:t>F</w:t>
      </w:r>
      <w:r w:rsidR="00721454">
        <w:t xml:space="preserve">or businesses that are not currently reporting under NGER, it will ensure consistency with the national best practice approach. </w:t>
      </w:r>
      <w:r w:rsidR="00BC4C78">
        <w:t xml:space="preserve">The proposed measurement standards for the various inputs covered under the GO scheme are separated by emissions source type and summarised in the table below. </w:t>
      </w:r>
    </w:p>
    <w:p w14:paraId="75297B2F" w14:textId="59B89574" w:rsidR="00BC4C78" w:rsidRDefault="00BC4C78" w:rsidP="00621A7C">
      <w:pPr>
        <w:pStyle w:val="Table"/>
        <w:keepNext/>
        <w:spacing w:before="200"/>
      </w:pPr>
      <w:bookmarkStart w:id="174" w:name="_Ref130482432"/>
      <w:bookmarkStart w:id="175" w:name="_Toc130914119"/>
      <w:bookmarkStart w:id="176" w:name="_Toc130914690"/>
      <w:r>
        <w:t xml:space="preserve">Table </w:t>
      </w:r>
      <w:bookmarkEnd w:id="174"/>
      <w:r w:rsidR="008941FC">
        <w:t xml:space="preserve">4.2 </w:t>
      </w:r>
      <w:r>
        <w:t xml:space="preserve">Measurement of </w:t>
      </w:r>
      <w:r w:rsidR="49F16F57">
        <w:t>process</w:t>
      </w:r>
      <w:r w:rsidR="08835B35">
        <w:t xml:space="preserve"> </w:t>
      </w:r>
      <w:r>
        <w:t>inputs</w:t>
      </w:r>
      <w:bookmarkEnd w:id="175"/>
      <w:bookmarkEnd w:id="176"/>
      <w:r w:rsidR="4CD64E13">
        <w:t xml:space="preserve"> and outputs</w:t>
      </w:r>
      <w:r w:rsidR="00676595">
        <w:t xml:space="preserve"> </w:t>
      </w:r>
    </w:p>
    <w:tbl>
      <w:tblPr>
        <w:tblStyle w:val="TableGrid"/>
        <w:tblW w:w="5000" w:type="pct"/>
        <w:tblLook w:val="04A0" w:firstRow="1" w:lastRow="0" w:firstColumn="1" w:lastColumn="0" w:noHBand="0" w:noVBand="1"/>
      </w:tblPr>
      <w:tblGrid>
        <w:gridCol w:w="1980"/>
        <w:gridCol w:w="7036"/>
      </w:tblGrid>
      <w:tr w:rsidR="00BC4C78" w:rsidRPr="00391021" w14:paraId="709804FE" w14:textId="77777777" w:rsidTr="005C5DE3">
        <w:trPr>
          <w:trHeight w:val="397"/>
        </w:trPr>
        <w:tc>
          <w:tcPr>
            <w:tcW w:w="1098" w:type="pct"/>
            <w:shd w:val="clear" w:color="auto" w:fill="AEAAAA" w:themeFill="background2" w:themeFillShade="BF"/>
            <w:vAlign w:val="center"/>
          </w:tcPr>
          <w:p w14:paraId="5367AA04" w14:textId="49211737" w:rsidR="00BC4C78" w:rsidRPr="00391021" w:rsidRDefault="00BC4C78" w:rsidP="000C5385">
            <w:pPr>
              <w:rPr>
                <w:b/>
                <w:bCs/>
              </w:rPr>
            </w:pPr>
            <w:r w:rsidRPr="00391021">
              <w:rPr>
                <w:b/>
                <w:bCs/>
              </w:rPr>
              <w:t>Activity</w:t>
            </w:r>
          </w:p>
        </w:tc>
        <w:tc>
          <w:tcPr>
            <w:tcW w:w="3902" w:type="pct"/>
            <w:shd w:val="clear" w:color="auto" w:fill="AEAAAA" w:themeFill="background2" w:themeFillShade="BF"/>
            <w:vAlign w:val="center"/>
          </w:tcPr>
          <w:p w14:paraId="4AF243AE" w14:textId="77777777" w:rsidR="00BC4C78" w:rsidRPr="00391021" w:rsidRDefault="00BC4C78" w:rsidP="000C5385">
            <w:pPr>
              <w:rPr>
                <w:b/>
                <w:bCs/>
              </w:rPr>
            </w:pPr>
            <w:r w:rsidRPr="00391021">
              <w:rPr>
                <w:b/>
                <w:bCs/>
              </w:rPr>
              <w:t>Measurement guidance</w:t>
            </w:r>
          </w:p>
        </w:tc>
      </w:tr>
      <w:tr w:rsidR="00FC4C17" w:rsidRPr="00391021" w14:paraId="0E3A33E0" w14:textId="77777777" w:rsidTr="005C5DE3">
        <w:trPr>
          <w:trHeight w:val="397"/>
        </w:trPr>
        <w:tc>
          <w:tcPr>
            <w:tcW w:w="5000" w:type="pct"/>
            <w:gridSpan w:val="2"/>
            <w:shd w:val="clear" w:color="auto" w:fill="D0CECE" w:themeFill="background2" w:themeFillShade="E6"/>
            <w:vAlign w:val="center"/>
          </w:tcPr>
          <w:p w14:paraId="38E39790" w14:textId="6E416FD8" w:rsidR="00FC4C17" w:rsidRPr="00391021" w:rsidRDefault="00FC4C17" w:rsidP="000C5385">
            <w:pPr>
              <w:rPr>
                <w:b/>
                <w:bCs/>
                <w:i/>
                <w:iCs/>
              </w:rPr>
            </w:pPr>
            <w:r w:rsidRPr="00391021">
              <w:rPr>
                <w:b/>
                <w:bCs/>
                <w:i/>
                <w:iCs/>
              </w:rPr>
              <w:t xml:space="preserve">Section A </w:t>
            </w:r>
            <w:r w:rsidR="003A459E">
              <w:rPr>
                <w:b/>
                <w:bCs/>
                <w:i/>
                <w:iCs/>
              </w:rPr>
              <w:t>–</w:t>
            </w:r>
            <w:r w:rsidRPr="00391021">
              <w:rPr>
                <w:b/>
                <w:bCs/>
                <w:i/>
                <w:iCs/>
              </w:rPr>
              <w:t xml:space="preserve"> </w:t>
            </w:r>
            <w:r>
              <w:rPr>
                <w:b/>
                <w:bCs/>
                <w:i/>
                <w:iCs/>
              </w:rPr>
              <w:t>Electricity</w:t>
            </w:r>
            <w:r w:rsidRPr="00391021">
              <w:rPr>
                <w:b/>
                <w:bCs/>
                <w:i/>
                <w:iCs/>
              </w:rPr>
              <w:t xml:space="preserve"> </w:t>
            </w:r>
            <w:r w:rsidR="00E96862">
              <w:rPr>
                <w:b/>
                <w:bCs/>
                <w:i/>
                <w:iCs/>
              </w:rPr>
              <w:t>measurement</w:t>
            </w:r>
          </w:p>
        </w:tc>
      </w:tr>
      <w:tr w:rsidR="00FC4C17" w14:paraId="7F9BAF92" w14:textId="77777777" w:rsidTr="005C5DE3">
        <w:trPr>
          <w:trHeight w:val="300"/>
        </w:trPr>
        <w:tc>
          <w:tcPr>
            <w:tcW w:w="1098" w:type="pct"/>
          </w:tcPr>
          <w:p w14:paraId="58C7C8C8" w14:textId="3263F821" w:rsidR="00FC4C17" w:rsidRDefault="00FC4C17" w:rsidP="00561F79">
            <w:r>
              <w:t>Electricity</w:t>
            </w:r>
          </w:p>
        </w:tc>
        <w:tc>
          <w:tcPr>
            <w:tcW w:w="3902" w:type="pct"/>
          </w:tcPr>
          <w:p w14:paraId="214CCCF2" w14:textId="3BEFE4E4" w:rsidR="00FC4C17" w:rsidRPr="0041089A" w:rsidRDefault="00FC4C17" w:rsidP="00FC4C17">
            <w:pPr>
              <w:shd w:val="clear" w:color="auto" w:fill="FFFFFF"/>
              <w:rPr>
                <w:rFonts w:ascii="Calibri" w:eastAsia="Times New Roman" w:hAnsi="Calibri" w:cs="Calibri"/>
                <w:lang w:eastAsia="en-AU"/>
              </w:rPr>
            </w:pPr>
            <w:r w:rsidRPr="0041089A">
              <w:rPr>
                <w:rFonts w:ascii="Calibri" w:eastAsia="Times New Roman" w:hAnsi="Calibri" w:cs="Calibri"/>
                <w:lang w:eastAsia="en-AU"/>
              </w:rPr>
              <w:t xml:space="preserve">The measurement of the quantity of electricity consumed must be completed in accordance with Section 6.5(2) of the </w:t>
            </w:r>
            <w:r w:rsidRPr="0041089A">
              <w:rPr>
                <w:rFonts w:ascii="Calibri" w:eastAsia="Times New Roman" w:hAnsi="Calibri" w:cs="Calibri"/>
                <w:i/>
                <w:lang w:eastAsia="en-AU"/>
              </w:rPr>
              <w:t>NGER</w:t>
            </w:r>
            <w:r w:rsidRPr="0041089A">
              <w:rPr>
                <w:rFonts w:ascii="Calibri" w:eastAsia="Times New Roman" w:hAnsi="Calibri" w:cs="Calibri"/>
                <w:lang w:eastAsia="en-AU"/>
              </w:rPr>
              <w:t xml:space="preserve"> </w:t>
            </w:r>
            <w:r w:rsidRPr="0041089A">
              <w:rPr>
                <w:rFonts w:ascii="Calibri" w:eastAsia="Times New Roman" w:hAnsi="Calibri" w:cs="Calibri"/>
                <w:i/>
                <w:lang w:eastAsia="en-AU"/>
              </w:rPr>
              <w:t>Determination</w:t>
            </w:r>
            <w:r w:rsidRPr="0041089A">
              <w:rPr>
                <w:rFonts w:ascii="Calibri" w:eastAsia="Times New Roman" w:hAnsi="Calibri" w:cs="Calibri"/>
                <w:lang w:eastAsia="en-AU"/>
              </w:rPr>
              <w:t>. The amount of electricity must be either:</w:t>
            </w:r>
          </w:p>
          <w:p w14:paraId="1A5F1D6F" w14:textId="77777777" w:rsidR="00FC4C17" w:rsidRPr="0041089A" w:rsidRDefault="00FC4C17" w:rsidP="00FC4C17">
            <w:pPr>
              <w:pStyle w:val="ListParagraph"/>
              <w:numPr>
                <w:ilvl w:val="0"/>
                <w:numId w:val="2"/>
              </w:numPr>
              <w:shd w:val="clear" w:color="auto" w:fill="FFFFFF"/>
              <w:rPr>
                <w:rFonts w:ascii="Calibri" w:eastAsia="Times New Roman" w:hAnsi="Calibri" w:cs="Calibri"/>
                <w:lang w:eastAsia="en-AU"/>
              </w:rPr>
            </w:pPr>
            <w:r w:rsidRPr="0041089A">
              <w:rPr>
                <w:rFonts w:ascii="Calibri" w:eastAsia="Times New Roman" w:hAnsi="Calibri" w:cs="Calibri"/>
                <w:lang w:eastAsia="en-AU"/>
              </w:rPr>
              <w:t>Evidenced by invoices,</w:t>
            </w:r>
          </w:p>
          <w:p w14:paraId="4DF8E3AB" w14:textId="77777777" w:rsidR="00FC4C17" w:rsidRPr="0041089A" w:rsidRDefault="00FC4C17" w:rsidP="00FC4C17">
            <w:pPr>
              <w:pStyle w:val="ListParagraph"/>
              <w:numPr>
                <w:ilvl w:val="0"/>
                <w:numId w:val="2"/>
              </w:numPr>
              <w:shd w:val="clear" w:color="auto" w:fill="FFFFFF"/>
              <w:rPr>
                <w:rFonts w:ascii="Calibri" w:eastAsia="Times New Roman" w:hAnsi="Calibri" w:cs="Calibri"/>
                <w:lang w:eastAsia="en-AU"/>
              </w:rPr>
            </w:pPr>
            <w:r w:rsidRPr="0041089A">
              <w:rPr>
                <w:rFonts w:ascii="Calibri" w:eastAsia="Times New Roman" w:hAnsi="Calibri" w:cs="Calibri"/>
                <w:lang w:eastAsia="en-AU"/>
              </w:rPr>
              <w:t xml:space="preserve">Contractual arrangements, or </w:t>
            </w:r>
          </w:p>
          <w:p w14:paraId="357FB94C" w14:textId="70E62B80" w:rsidR="00FC4C17" w:rsidRPr="00FC4C17" w:rsidRDefault="00FC4C17" w:rsidP="006654E3">
            <w:pPr>
              <w:pStyle w:val="ListParagraph"/>
              <w:numPr>
                <w:ilvl w:val="0"/>
                <w:numId w:val="2"/>
              </w:numPr>
              <w:shd w:val="clear" w:color="auto" w:fill="FFFFFF"/>
              <w:spacing w:after="120"/>
              <w:rPr>
                <w:rFonts w:ascii="Calibri" w:eastAsia="Times New Roman" w:hAnsi="Calibri" w:cs="Calibri"/>
                <w:lang w:eastAsia="en-AU"/>
              </w:rPr>
            </w:pPr>
            <w:r w:rsidRPr="0041089A">
              <w:rPr>
                <w:rFonts w:ascii="Calibri" w:eastAsia="Times New Roman" w:hAnsi="Calibri" w:cs="Calibri"/>
                <w:lang w:eastAsia="en-AU"/>
              </w:rPr>
              <w:t>Industry metering records</w:t>
            </w:r>
            <w:r>
              <w:rPr>
                <w:rFonts w:ascii="Calibri" w:eastAsia="Times New Roman" w:hAnsi="Calibri" w:cs="Calibri"/>
                <w:lang w:eastAsia="en-AU"/>
              </w:rPr>
              <w:t xml:space="preserve"> (</w:t>
            </w:r>
            <w:hyperlink r:id="rId19" w:anchor="S7.4.3" w:history="1">
              <w:r w:rsidRPr="003938F5">
                <w:rPr>
                  <w:rStyle w:val="Hyperlink"/>
                  <w:rFonts w:ascii="Calibri" w:eastAsia="Times New Roman" w:hAnsi="Calibri" w:cs="Calibri"/>
                  <w:lang w:eastAsia="en-AU"/>
                </w:rPr>
                <w:t>Table 7.4.3 of N</w:t>
              </w:r>
              <w:r w:rsidR="003938F5" w:rsidRPr="003938F5">
                <w:rPr>
                  <w:rStyle w:val="Hyperlink"/>
                  <w:rFonts w:ascii="Calibri" w:eastAsia="Times New Roman" w:hAnsi="Calibri" w:cs="Calibri"/>
                  <w:lang w:eastAsia="en-AU"/>
                </w:rPr>
                <w:t xml:space="preserve">ational </w:t>
              </w:r>
              <w:r w:rsidRPr="003938F5">
                <w:rPr>
                  <w:rStyle w:val="Hyperlink"/>
                  <w:rFonts w:ascii="Calibri" w:eastAsia="Times New Roman" w:hAnsi="Calibri" w:cs="Calibri"/>
                  <w:lang w:eastAsia="en-AU"/>
                </w:rPr>
                <w:t>E</w:t>
              </w:r>
              <w:r w:rsidR="003938F5" w:rsidRPr="003938F5">
                <w:rPr>
                  <w:rStyle w:val="Hyperlink"/>
                  <w:rFonts w:ascii="Calibri" w:eastAsia="Times New Roman" w:hAnsi="Calibri" w:cs="Calibri"/>
                  <w:lang w:eastAsia="en-AU"/>
                </w:rPr>
                <w:t xml:space="preserve">lectricity </w:t>
              </w:r>
              <w:r w:rsidRPr="003938F5">
                <w:rPr>
                  <w:rStyle w:val="Hyperlink"/>
                  <w:rFonts w:ascii="Calibri" w:eastAsia="Times New Roman" w:hAnsi="Calibri" w:cs="Calibri"/>
                  <w:lang w:eastAsia="en-AU"/>
                </w:rPr>
                <w:t>R</w:t>
              </w:r>
              <w:r w:rsidR="003938F5" w:rsidRPr="003938F5">
                <w:rPr>
                  <w:rStyle w:val="Hyperlink"/>
                  <w:rFonts w:ascii="Calibri" w:eastAsia="Times New Roman" w:hAnsi="Calibri" w:cs="Calibri"/>
                  <w:lang w:eastAsia="en-AU"/>
                </w:rPr>
                <w:t>ules</w:t>
              </w:r>
            </w:hyperlink>
            <w:r w:rsidR="00B62B78">
              <w:rPr>
                <w:rFonts w:ascii="Calibri" w:eastAsia="Times New Roman" w:hAnsi="Calibri" w:cs="Calibri"/>
                <w:lang w:eastAsia="en-AU"/>
              </w:rPr>
              <w:t>)</w:t>
            </w:r>
          </w:p>
        </w:tc>
      </w:tr>
      <w:tr w:rsidR="00BC4C78" w:rsidRPr="00391021" w14:paraId="2F668D8D" w14:textId="77777777" w:rsidTr="005C5DE3">
        <w:trPr>
          <w:trHeight w:val="397"/>
        </w:trPr>
        <w:tc>
          <w:tcPr>
            <w:tcW w:w="5000" w:type="pct"/>
            <w:gridSpan w:val="2"/>
            <w:shd w:val="clear" w:color="auto" w:fill="D0CECE" w:themeFill="background2" w:themeFillShade="E6"/>
            <w:vAlign w:val="center"/>
          </w:tcPr>
          <w:p w14:paraId="130484C7" w14:textId="1A5C5B78" w:rsidR="00BC4C78" w:rsidRPr="00391021" w:rsidRDefault="00BC4C78" w:rsidP="000C5385">
            <w:pPr>
              <w:rPr>
                <w:b/>
                <w:bCs/>
                <w:i/>
                <w:iCs/>
              </w:rPr>
            </w:pPr>
            <w:r w:rsidRPr="00391021">
              <w:rPr>
                <w:b/>
                <w:bCs/>
                <w:i/>
                <w:iCs/>
              </w:rPr>
              <w:t xml:space="preserve">Section </w:t>
            </w:r>
            <w:r w:rsidR="00FC4C17">
              <w:rPr>
                <w:b/>
                <w:bCs/>
                <w:i/>
                <w:iCs/>
              </w:rPr>
              <w:t>B</w:t>
            </w:r>
            <w:r w:rsidRPr="00391021">
              <w:rPr>
                <w:b/>
                <w:bCs/>
                <w:i/>
                <w:iCs/>
              </w:rPr>
              <w:t xml:space="preserve"> </w:t>
            </w:r>
            <w:r w:rsidR="00E96862">
              <w:rPr>
                <w:b/>
                <w:bCs/>
                <w:i/>
                <w:iCs/>
              </w:rPr>
              <w:t>–</w:t>
            </w:r>
            <w:r w:rsidRPr="00391021">
              <w:rPr>
                <w:b/>
                <w:bCs/>
                <w:i/>
                <w:iCs/>
              </w:rPr>
              <w:t xml:space="preserve"> </w:t>
            </w:r>
            <w:r w:rsidR="00E96862">
              <w:rPr>
                <w:b/>
                <w:bCs/>
                <w:i/>
                <w:iCs/>
              </w:rPr>
              <w:t>Fuel measurement</w:t>
            </w:r>
          </w:p>
        </w:tc>
      </w:tr>
      <w:tr w:rsidR="00BC4C78" w14:paraId="61153F99" w14:textId="77777777" w:rsidTr="005C5DE3">
        <w:trPr>
          <w:trHeight w:val="300"/>
        </w:trPr>
        <w:tc>
          <w:tcPr>
            <w:tcW w:w="1098" w:type="pct"/>
          </w:tcPr>
          <w:p w14:paraId="0C512A1A" w14:textId="76DC6C49" w:rsidR="00BC4C78" w:rsidRDefault="00BC4C78" w:rsidP="00561F79">
            <w:r>
              <w:t>Solid fuel</w:t>
            </w:r>
            <w:r w:rsidR="003471F6">
              <w:t>s</w:t>
            </w:r>
          </w:p>
        </w:tc>
        <w:tc>
          <w:tcPr>
            <w:tcW w:w="3902" w:type="pct"/>
          </w:tcPr>
          <w:p w14:paraId="20C8CCB0" w14:textId="22C6B692" w:rsidR="00BC4C78" w:rsidRDefault="00BC4C78" w:rsidP="00561F79">
            <w:r>
              <w:t xml:space="preserve">Three </w:t>
            </w:r>
            <w:r w:rsidR="00731791">
              <w:t xml:space="preserve">criteria </w:t>
            </w:r>
            <w:r>
              <w:t xml:space="preserve">from Division 2.2.5 of the </w:t>
            </w:r>
            <w:r w:rsidR="00F602B5" w:rsidRPr="0041089A">
              <w:rPr>
                <w:rFonts w:ascii="Calibri" w:eastAsia="Times New Roman" w:hAnsi="Calibri" w:cs="Calibri"/>
                <w:i/>
                <w:lang w:eastAsia="en-AU"/>
              </w:rPr>
              <w:t>NGER</w:t>
            </w:r>
            <w:r w:rsidR="00F602B5" w:rsidRPr="0041089A">
              <w:rPr>
                <w:rFonts w:ascii="Calibri" w:eastAsia="Times New Roman" w:hAnsi="Calibri" w:cs="Calibri"/>
                <w:lang w:eastAsia="en-AU"/>
              </w:rPr>
              <w:t xml:space="preserve"> </w:t>
            </w:r>
            <w:r w:rsidRPr="0041089A">
              <w:rPr>
                <w:rFonts w:ascii="Calibri" w:eastAsia="Times New Roman" w:hAnsi="Calibri" w:cs="Calibri"/>
                <w:i/>
                <w:lang w:eastAsia="en-AU"/>
              </w:rPr>
              <w:t>Determination</w:t>
            </w:r>
            <w:r>
              <w:t>, namely:</w:t>
            </w:r>
          </w:p>
          <w:p w14:paraId="526139FA" w14:textId="77777777" w:rsidR="00BC4C78" w:rsidRDefault="00BC4C78" w:rsidP="00561F79">
            <w:pPr>
              <w:pStyle w:val="ListParagraph"/>
              <w:numPr>
                <w:ilvl w:val="0"/>
                <w:numId w:val="2"/>
              </w:numPr>
              <w:shd w:val="clear" w:color="auto" w:fill="FFFFFF"/>
            </w:pPr>
            <w:r w:rsidRPr="009A14FF">
              <w:t>the amount of the solid fuel delivered for the facility during the year as evidenced by invoices issued by the vendor of the fuel</w:t>
            </w:r>
            <w:r>
              <w:t>,</w:t>
            </w:r>
          </w:p>
          <w:p w14:paraId="76FA14F1" w14:textId="0F511ACD" w:rsidR="00BC4C78" w:rsidRDefault="00BC4C78" w:rsidP="00561F79">
            <w:pPr>
              <w:pStyle w:val="ListParagraph"/>
              <w:numPr>
                <w:ilvl w:val="0"/>
                <w:numId w:val="2"/>
              </w:numPr>
              <w:shd w:val="clear" w:color="auto" w:fill="FFFFFF"/>
            </w:pPr>
            <w:r>
              <w:t xml:space="preserve">Indirect measurement at point of consumption, with sampling completed in accordance with Subdivision 2.2.3.3 of the </w:t>
            </w:r>
            <w:r w:rsidR="006558D7">
              <w:rPr>
                <w:i/>
                <w:iCs/>
              </w:rPr>
              <w:t xml:space="preserve">NGER </w:t>
            </w:r>
            <w:r w:rsidRPr="009A2F78">
              <w:rPr>
                <w:i/>
                <w:iCs/>
              </w:rPr>
              <w:t>Determination</w:t>
            </w:r>
            <w:r>
              <w:t xml:space="preserve">. </w:t>
            </w:r>
          </w:p>
          <w:p w14:paraId="73025BAE" w14:textId="77777777" w:rsidR="00BC4C78" w:rsidRPr="00D41DFA" w:rsidRDefault="00BC4C78" w:rsidP="006654E3">
            <w:pPr>
              <w:pStyle w:val="ListParagraph"/>
              <w:numPr>
                <w:ilvl w:val="0"/>
                <w:numId w:val="2"/>
              </w:numPr>
              <w:shd w:val="clear" w:color="auto" w:fill="FFFFFF"/>
              <w:spacing w:after="120"/>
            </w:pPr>
            <w:r>
              <w:t>Direct measurement at point of consumption.</w:t>
            </w:r>
          </w:p>
        </w:tc>
      </w:tr>
      <w:tr w:rsidR="00BC4C78" w14:paraId="1E81185F" w14:textId="77777777" w:rsidTr="005C5DE3">
        <w:trPr>
          <w:trHeight w:val="300"/>
        </w:trPr>
        <w:tc>
          <w:tcPr>
            <w:tcW w:w="1098" w:type="pct"/>
          </w:tcPr>
          <w:p w14:paraId="0735A9AD" w14:textId="3F5FA939" w:rsidR="00BC4C78" w:rsidRDefault="00BC4C78" w:rsidP="00561F79">
            <w:r>
              <w:t>Gaseous fue</w:t>
            </w:r>
            <w:r w:rsidR="003471F6">
              <w:t>ls</w:t>
            </w:r>
            <w:r>
              <w:t xml:space="preserve"> </w:t>
            </w:r>
          </w:p>
        </w:tc>
        <w:tc>
          <w:tcPr>
            <w:tcW w:w="3902" w:type="pct"/>
          </w:tcPr>
          <w:p w14:paraId="30BB0433" w14:textId="723FA539" w:rsidR="00BC4C78" w:rsidRDefault="00BC4C78" w:rsidP="00561F79">
            <w:r>
              <w:t xml:space="preserve">Three </w:t>
            </w:r>
            <w:r w:rsidR="00731791">
              <w:t xml:space="preserve">criteria </w:t>
            </w:r>
            <w:r>
              <w:t xml:space="preserve">from Division 2.3.6 of the </w:t>
            </w:r>
            <w:r w:rsidR="00F602B5" w:rsidRPr="0041089A">
              <w:rPr>
                <w:rFonts w:ascii="Calibri" w:eastAsia="Times New Roman" w:hAnsi="Calibri" w:cs="Calibri"/>
                <w:i/>
                <w:lang w:eastAsia="en-AU"/>
              </w:rPr>
              <w:t>NGER</w:t>
            </w:r>
            <w:r w:rsidR="00F602B5" w:rsidRPr="0041089A">
              <w:rPr>
                <w:rFonts w:ascii="Calibri" w:eastAsia="Times New Roman" w:hAnsi="Calibri" w:cs="Calibri"/>
                <w:lang w:eastAsia="en-AU"/>
              </w:rPr>
              <w:t xml:space="preserve"> </w:t>
            </w:r>
            <w:r w:rsidRPr="0041089A">
              <w:rPr>
                <w:rFonts w:ascii="Calibri" w:eastAsia="Times New Roman" w:hAnsi="Calibri" w:cs="Calibri"/>
                <w:i/>
                <w:lang w:eastAsia="en-AU"/>
              </w:rPr>
              <w:t>Determination</w:t>
            </w:r>
            <w:r>
              <w:t>, namely:</w:t>
            </w:r>
          </w:p>
          <w:p w14:paraId="119CF4C4" w14:textId="77777777" w:rsidR="00BC4C78" w:rsidRDefault="00BC4C78" w:rsidP="00561F79">
            <w:pPr>
              <w:pStyle w:val="ListParagraph"/>
              <w:numPr>
                <w:ilvl w:val="0"/>
                <w:numId w:val="2"/>
              </w:numPr>
              <w:shd w:val="clear" w:color="auto" w:fill="FFFFFF"/>
            </w:pPr>
            <w:r w:rsidRPr="009A14FF">
              <w:t xml:space="preserve">the amount of the </w:t>
            </w:r>
            <w:r>
              <w:t>gaseous</w:t>
            </w:r>
            <w:r w:rsidRPr="009A14FF">
              <w:t xml:space="preserve"> fuel delivered for the facility during the year as evidenced by invoices issued by the vendor of the fuel</w:t>
            </w:r>
            <w:r>
              <w:t>,</w:t>
            </w:r>
          </w:p>
          <w:p w14:paraId="4D66CDAE" w14:textId="346E3AD6" w:rsidR="00BC4C78" w:rsidRDefault="00BC4C78" w:rsidP="00561F79">
            <w:pPr>
              <w:pStyle w:val="ListParagraph"/>
              <w:numPr>
                <w:ilvl w:val="0"/>
                <w:numId w:val="2"/>
              </w:numPr>
              <w:shd w:val="clear" w:color="auto" w:fill="FFFFFF"/>
            </w:pPr>
            <w:r>
              <w:t xml:space="preserve">Indirect measurement at point of consumption, with sampling completed in accordance with Subdivision 2.3.3.2 of the </w:t>
            </w:r>
            <w:r w:rsidR="00F602B5" w:rsidRPr="0041089A">
              <w:rPr>
                <w:rFonts w:ascii="Calibri" w:eastAsia="Times New Roman" w:hAnsi="Calibri" w:cs="Calibri"/>
                <w:i/>
                <w:lang w:eastAsia="en-AU"/>
              </w:rPr>
              <w:t>NGER</w:t>
            </w:r>
            <w:r w:rsidR="00F602B5" w:rsidRPr="0041089A">
              <w:rPr>
                <w:rFonts w:ascii="Calibri" w:eastAsia="Times New Roman" w:hAnsi="Calibri" w:cs="Calibri"/>
                <w:lang w:eastAsia="en-AU"/>
              </w:rPr>
              <w:t xml:space="preserve"> </w:t>
            </w:r>
            <w:r w:rsidRPr="0041089A">
              <w:rPr>
                <w:rFonts w:ascii="Calibri" w:eastAsia="Times New Roman" w:hAnsi="Calibri" w:cs="Calibri"/>
                <w:i/>
                <w:lang w:eastAsia="en-AU"/>
              </w:rPr>
              <w:t>Determination</w:t>
            </w:r>
            <w:r>
              <w:t xml:space="preserve">. </w:t>
            </w:r>
          </w:p>
          <w:p w14:paraId="609B6DEC" w14:textId="7EFEA5FB" w:rsidR="00BC4C78" w:rsidRDefault="00BC4C78" w:rsidP="006654E3">
            <w:pPr>
              <w:pStyle w:val="ListParagraph"/>
              <w:numPr>
                <w:ilvl w:val="0"/>
                <w:numId w:val="2"/>
              </w:numPr>
              <w:shd w:val="clear" w:color="auto" w:fill="FFFFFF"/>
              <w:spacing w:after="120"/>
            </w:pPr>
            <w:r>
              <w:t>Direct measurement at point of consumption.</w:t>
            </w:r>
          </w:p>
        </w:tc>
      </w:tr>
      <w:tr w:rsidR="00BC4C78" w14:paraId="4049306F" w14:textId="77777777" w:rsidTr="005C5DE3">
        <w:trPr>
          <w:trHeight w:val="300"/>
        </w:trPr>
        <w:tc>
          <w:tcPr>
            <w:tcW w:w="1098" w:type="pct"/>
          </w:tcPr>
          <w:p w14:paraId="5990AEA8" w14:textId="183B0A8D" w:rsidR="00BC4C78" w:rsidRDefault="00BC4C78" w:rsidP="00561F79">
            <w:r>
              <w:t>Liquid fuel</w:t>
            </w:r>
            <w:r w:rsidR="003471F6">
              <w:t>s</w:t>
            </w:r>
          </w:p>
        </w:tc>
        <w:tc>
          <w:tcPr>
            <w:tcW w:w="3902" w:type="pct"/>
          </w:tcPr>
          <w:p w14:paraId="1E893B13" w14:textId="39E540E2" w:rsidR="00BC4C78" w:rsidRDefault="00BC4C78" w:rsidP="00561F79">
            <w:r>
              <w:t xml:space="preserve">Three </w:t>
            </w:r>
            <w:r w:rsidR="00583A45">
              <w:t xml:space="preserve">criteria </w:t>
            </w:r>
            <w:r>
              <w:t xml:space="preserve">from Division 2.4.6 of the </w:t>
            </w:r>
            <w:r w:rsidR="00F602B5" w:rsidRPr="0041089A">
              <w:rPr>
                <w:rFonts w:ascii="Calibri" w:eastAsia="Times New Roman" w:hAnsi="Calibri" w:cs="Calibri"/>
                <w:i/>
                <w:lang w:eastAsia="en-AU"/>
              </w:rPr>
              <w:t>NGER</w:t>
            </w:r>
            <w:r w:rsidR="00F602B5" w:rsidRPr="0041089A">
              <w:rPr>
                <w:rFonts w:ascii="Calibri" w:eastAsia="Times New Roman" w:hAnsi="Calibri" w:cs="Calibri"/>
                <w:lang w:eastAsia="en-AU"/>
              </w:rPr>
              <w:t xml:space="preserve"> </w:t>
            </w:r>
            <w:r w:rsidRPr="0041089A">
              <w:rPr>
                <w:rFonts w:ascii="Calibri" w:eastAsia="Times New Roman" w:hAnsi="Calibri" w:cs="Calibri"/>
                <w:i/>
                <w:lang w:eastAsia="en-AU"/>
              </w:rPr>
              <w:t>Determination</w:t>
            </w:r>
            <w:r>
              <w:t>, namely:</w:t>
            </w:r>
          </w:p>
          <w:p w14:paraId="11AC0BCA" w14:textId="77777777" w:rsidR="00BC4C78" w:rsidRDefault="00BC4C78" w:rsidP="00561F79">
            <w:pPr>
              <w:pStyle w:val="ListParagraph"/>
              <w:numPr>
                <w:ilvl w:val="0"/>
                <w:numId w:val="2"/>
              </w:numPr>
              <w:shd w:val="clear" w:color="auto" w:fill="FFFFFF"/>
            </w:pPr>
            <w:r w:rsidRPr="009A14FF">
              <w:t xml:space="preserve">the amount of the </w:t>
            </w:r>
            <w:r>
              <w:t>liquid</w:t>
            </w:r>
            <w:r w:rsidRPr="009A14FF">
              <w:t xml:space="preserve"> fuel delivered for the facility during the year as evidenced by invoices issued by the vendor of the fuel</w:t>
            </w:r>
            <w:r>
              <w:t>,</w:t>
            </w:r>
          </w:p>
          <w:p w14:paraId="104D0D97" w14:textId="5200176D" w:rsidR="00BC4C78" w:rsidRDefault="00BC4C78" w:rsidP="00561F79">
            <w:pPr>
              <w:pStyle w:val="ListParagraph"/>
              <w:numPr>
                <w:ilvl w:val="0"/>
                <w:numId w:val="2"/>
              </w:numPr>
              <w:shd w:val="clear" w:color="auto" w:fill="FFFFFF"/>
            </w:pPr>
            <w:r>
              <w:t xml:space="preserve">Indirect measurement at point of consumption, with sampling completed in accordance with Subdivision 2.4.3.2 of the </w:t>
            </w:r>
            <w:r w:rsidR="00D34492" w:rsidRPr="0041089A">
              <w:rPr>
                <w:rFonts w:ascii="Calibri" w:eastAsia="Times New Roman" w:hAnsi="Calibri" w:cs="Calibri"/>
                <w:i/>
                <w:lang w:eastAsia="en-AU"/>
              </w:rPr>
              <w:t>NGER</w:t>
            </w:r>
            <w:r w:rsidR="00D34492" w:rsidRPr="0041089A">
              <w:rPr>
                <w:rFonts w:ascii="Calibri" w:eastAsia="Times New Roman" w:hAnsi="Calibri" w:cs="Calibri"/>
                <w:lang w:eastAsia="en-AU"/>
              </w:rPr>
              <w:t xml:space="preserve"> </w:t>
            </w:r>
            <w:r w:rsidRPr="0041089A">
              <w:rPr>
                <w:rFonts w:ascii="Calibri" w:eastAsia="Times New Roman" w:hAnsi="Calibri" w:cs="Calibri"/>
                <w:i/>
                <w:lang w:eastAsia="en-AU"/>
              </w:rPr>
              <w:t>Determination</w:t>
            </w:r>
            <w:r>
              <w:t xml:space="preserve">. </w:t>
            </w:r>
          </w:p>
          <w:p w14:paraId="1A2888E7" w14:textId="179948B2" w:rsidR="00BC4C78" w:rsidRDefault="00BC4C78" w:rsidP="006654E3">
            <w:pPr>
              <w:pStyle w:val="ListParagraph"/>
              <w:numPr>
                <w:ilvl w:val="0"/>
                <w:numId w:val="2"/>
              </w:numPr>
              <w:shd w:val="clear" w:color="auto" w:fill="FFFFFF"/>
              <w:spacing w:after="120"/>
            </w:pPr>
            <w:r>
              <w:t>Direct measurement at point of consumption.</w:t>
            </w:r>
          </w:p>
        </w:tc>
      </w:tr>
      <w:tr w:rsidR="00BC4C78" w14:paraId="72F0A6C5" w14:textId="77777777" w:rsidTr="005C5DE3">
        <w:trPr>
          <w:trHeight w:val="7035"/>
        </w:trPr>
        <w:tc>
          <w:tcPr>
            <w:tcW w:w="1098" w:type="pct"/>
          </w:tcPr>
          <w:p w14:paraId="52D3F9CD" w14:textId="77777777" w:rsidR="00BC4C78" w:rsidRDefault="00BC4C78" w:rsidP="00561F79">
            <w:r>
              <w:t>Blended fuels</w:t>
            </w:r>
          </w:p>
        </w:tc>
        <w:tc>
          <w:tcPr>
            <w:tcW w:w="3902" w:type="pct"/>
          </w:tcPr>
          <w:p w14:paraId="29230165" w14:textId="685529B0" w:rsidR="00BC4C78" w:rsidRPr="00355537" w:rsidRDefault="00BC4C78" w:rsidP="00561F79">
            <w:r w:rsidRPr="00BE5529">
              <w:rPr>
                <w:b/>
                <w:bCs/>
              </w:rPr>
              <w:t>Solid fuels</w:t>
            </w:r>
            <w:r>
              <w:t xml:space="preserve"> </w:t>
            </w:r>
            <w:r w:rsidR="003A459E">
              <w:t>–</w:t>
            </w:r>
            <w:r>
              <w:t xml:space="preserve"> </w:t>
            </w:r>
            <w:r w:rsidRPr="00355537">
              <w:t>In determining the amounts of each kind of fuel that is in a blended solid fuel, a person may adopt the outcome of the sampling and analysis done by the manufacturer of the fuel or themselves if:</w:t>
            </w:r>
          </w:p>
          <w:p w14:paraId="3EF943F4" w14:textId="2FB6A107" w:rsidR="00BC4C78" w:rsidRDefault="00BC4C78" w:rsidP="00561F79">
            <w:pPr>
              <w:pStyle w:val="ListParagraph"/>
              <w:spacing w:after="160" w:line="259" w:lineRule="auto"/>
            </w:pPr>
            <w:r>
              <w:t xml:space="preserve">The sampling has been done in accordance with </w:t>
            </w:r>
            <w:r w:rsidRPr="0041089A">
              <w:rPr>
                <w:rFonts w:ascii="Calibri" w:eastAsia="Times New Roman" w:hAnsi="Calibri" w:cs="Calibri"/>
                <w:i/>
                <w:lang w:eastAsia="en-AU"/>
              </w:rPr>
              <w:t>NGER</w:t>
            </w:r>
            <w:r w:rsidRPr="0041089A">
              <w:rPr>
                <w:rFonts w:ascii="Calibri" w:eastAsia="Times New Roman" w:hAnsi="Calibri" w:cs="Calibri"/>
                <w:lang w:eastAsia="en-AU"/>
              </w:rPr>
              <w:t xml:space="preserve"> </w:t>
            </w:r>
            <w:r w:rsidRPr="0041089A">
              <w:rPr>
                <w:rFonts w:ascii="Calibri" w:eastAsia="Times New Roman" w:hAnsi="Calibri" w:cs="Calibri"/>
                <w:i/>
                <w:lang w:eastAsia="en-AU"/>
              </w:rPr>
              <w:t>Determination</w:t>
            </w:r>
            <w:r>
              <w:t xml:space="preserve"> subsections 2.12(3) and (4); and</w:t>
            </w:r>
          </w:p>
          <w:p w14:paraId="7BB0AD52" w14:textId="77777777" w:rsidR="00BC4C78" w:rsidRDefault="00BC4C78" w:rsidP="006E7749">
            <w:pPr>
              <w:pStyle w:val="ListParagraph"/>
              <w:spacing w:after="120"/>
            </w:pPr>
            <w:r>
              <w:t>the analysis has been done in accordance with one of the following standards or a standard that is equivalent to one of those standards:</w:t>
            </w:r>
            <w:r>
              <w:br/>
              <w:t>(</w:t>
            </w:r>
            <w:proofErr w:type="spellStart"/>
            <w:r>
              <w:t>i</w:t>
            </w:r>
            <w:proofErr w:type="spellEnd"/>
            <w:r>
              <w:t>) CEN/TS15440:2006;</w:t>
            </w:r>
            <w:r>
              <w:br/>
              <w:t>(ii) ASTM D6866—20.</w:t>
            </w:r>
          </w:p>
          <w:p w14:paraId="43F62025" w14:textId="489AC7DE" w:rsidR="00BC4C78" w:rsidRDefault="00BC4C78" w:rsidP="00561F79">
            <w:r>
              <w:rPr>
                <w:b/>
                <w:bCs/>
              </w:rPr>
              <w:t>Liquid</w:t>
            </w:r>
            <w:r w:rsidRPr="00BE5529">
              <w:rPr>
                <w:b/>
                <w:bCs/>
              </w:rPr>
              <w:t xml:space="preserve"> fuels</w:t>
            </w:r>
            <w:r>
              <w:t xml:space="preserve"> </w:t>
            </w:r>
            <w:r w:rsidR="003A459E">
              <w:t>–</w:t>
            </w:r>
            <w:r>
              <w:t xml:space="preserve"> The person may adopt the manufacturer’s determination of each kind of fuel that is in a blended liquid fuel or adopt the analysis arrived at after doing both of the following:</w:t>
            </w:r>
          </w:p>
          <w:p w14:paraId="543C00EF" w14:textId="082EE386" w:rsidR="00BC4C78" w:rsidRDefault="00BC4C78" w:rsidP="00561F79">
            <w:pPr>
              <w:pStyle w:val="ListParagraph"/>
            </w:pPr>
            <w:r>
              <w:t xml:space="preserve">Sampling the fuel in accordance with a standard mentioned in </w:t>
            </w:r>
            <w:r w:rsidRPr="0041089A">
              <w:rPr>
                <w:rFonts w:ascii="Calibri" w:eastAsia="Times New Roman" w:hAnsi="Calibri" w:cs="Calibri"/>
                <w:i/>
                <w:lang w:eastAsia="en-AU"/>
              </w:rPr>
              <w:t>NGER</w:t>
            </w:r>
            <w:r w:rsidRPr="0041089A">
              <w:rPr>
                <w:rFonts w:ascii="Calibri" w:eastAsia="Times New Roman" w:hAnsi="Calibri" w:cs="Calibri"/>
                <w:lang w:eastAsia="en-AU"/>
              </w:rPr>
              <w:t xml:space="preserve"> </w:t>
            </w:r>
            <w:r w:rsidR="006D3702" w:rsidRPr="0041089A">
              <w:rPr>
                <w:rFonts w:ascii="Calibri" w:eastAsia="Times New Roman" w:hAnsi="Calibri" w:cs="Calibri"/>
                <w:i/>
                <w:lang w:eastAsia="en-AU"/>
              </w:rPr>
              <w:t>Determination</w:t>
            </w:r>
            <w:r>
              <w:t xml:space="preserve"> subsections 2.47(3) and (4);</w:t>
            </w:r>
          </w:p>
          <w:p w14:paraId="1CFCB455" w14:textId="77777777" w:rsidR="00BC4C78" w:rsidRDefault="00BC4C78" w:rsidP="006E7749">
            <w:pPr>
              <w:pStyle w:val="ListParagraph"/>
              <w:spacing w:after="120"/>
            </w:pPr>
            <w:r>
              <w:t>Analysing the fuel in accordance with ASTM D6866—20 or a standard that is equivalent to that standard.</w:t>
            </w:r>
          </w:p>
          <w:p w14:paraId="259EDCC0" w14:textId="28A210DF" w:rsidR="00BC4C78" w:rsidRPr="00355537" w:rsidRDefault="00BC4C78" w:rsidP="00561F79">
            <w:r>
              <w:rPr>
                <w:b/>
                <w:bCs/>
              </w:rPr>
              <w:t>Gaseous</w:t>
            </w:r>
            <w:r w:rsidRPr="00BE5529">
              <w:rPr>
                <w:b/>
                <w:bCs/>
              </w:rPr>
              <w:t xml:space="preserve"> fuels</w:t>
            </w:r>
            <w:r>
              <w:t xml:space="preserve"> </w:t>
            </w:r>
            <w:r w:rsidR="003A459E">
              <w:t>–</w:t>
            </w:r>
            <w:r>
              <w:t xml:space="preserve"> </w:t>
            </w:r>
            <w:r w:rsidRPr="00355537">
              <w:t>In determining the amounts of each kind of fuel that is in a blended gaseous fuel, a person may do either or both of the following:</w:t>
            </w:r>
          </w:p>
          <w:p w14:paraId="5A876A3F" w14:textId="77777777" w:rsidR="00BC4C78" w:rsidRPr="00355537" w:rsidRDefault="00BC4C78" w:rsidP="00561F79">
            <w:pPr>
              <w:pStyle w:val="ListParagraph"/>
            </w:pPr>
            <w:r>
              <w:t>A</w:t>
            </w:r>
            <w:r w:rsidRPr="00355537">
              <w:t>dopt a determination of the amounts by the producer of the fuel or the operator of the pipeline that supplied the fuel;</w:t>
            </w:r>
          </w:p>
          <w:p w14:paraId="1803CB15" w14:textId="70218210" w:rsidR="00BC4C78" w:rsidRDefault="00BC4C78" w:rsidP="00A7512A">
            <w:pPr>
              <w:pStyle w:val="ListParagraph"/>
              <w:spacing w:after="120" w:line="259" w:lineRule="auto"/>
            </w:pPr>
            <w:r>
              <w:t>A</w:t>
            </w:r>
            <w:r w:rsidRPr="00355537">
              <w:t>dopt analysis arrived at after:</w:t>
            </w:r>
            <w:r>
              <w:br/>
            </w:r>
            <w:r w:rsidRPr="00355537">
              <w:t>(</w:t>
            </w:r>
            <w:proofErr w:type="spellStart"/>
            <w:r w:rsidRPr="00355537">
              <w:t>i</w:t>
            </w:r>
            <w:proofErr w:type="spellEnd"/>
            <w:r w:rsidRPr="00355537">
              <w:t xml:space="preserve">) sampling in accordance with </w:t>
            </w:r>
            <w:r w:rsidRPr="0005020A">
              <w:rPr>
                <w:i/>
                <w:iCs/>
              </w:rPr>
              <w:t xml:space="preserve">NGER </w:t>
            </w:r>
            <w:r w:rsidR="00EC73DB">
              <w:rPr>
                <w:i/>
                <w:iCs/>
              </w:rPr>
              <w:t>D</w:t>
            </w:r>
            <w:r w:rsidRPr="0005020A">
              <w:rPr>
                <w:i/>
                <w:iCs/>
              </w:rPr>
              <w:t xml:space="preserve">etermination </w:t>
            </w:r>
            <w:r w:rsidRPr="00355537">
              <w:t>subsections 2.26(3) and (4); and</w:t>
            </w:r>
            <w:r>
              <w:br/>
              <w:t>(ii) the analysing the fuel in accordance with ASTM D6866—20 or a standard that is equivalent to that standard.</w:t>
            </w:r>
          </w:p>
        </w:tc>
      </w:tr>
      <w:tr w:rsidR="00BC4C78" w14:paraId="0ADB5556" w14:textId="77777777" w:rsidTr="005C5DE3">
        <w:trPr>
          <w:trHeight w:val="397"/>
        </w:trPr>
        <w:tc>
          <w:tcPr>
            <w:tcW w:w="5000" w:type="pct"/>
            <w:gridSpan w:val="2"/>
            <w:shd w:val="clear" w:color="auto" w:fill="D0CECE" w:themeFill="background2" w:themeFillShade="E6"/>
            <w:vAlign w:val="center"/>
          </w:tcPr>
          <w:p w14:paraId="153AC66F" w14:textId="14037F44" w:rsidR="00BC4C78" w:rsidRPr="00391021" w:rsidRDefault="00BC4C78" w:rsidP="000C5385">
            <w:pPr>
              <w:rPr>
                <w:b/>
                <w:bCs/>
                <w:i/>
                <w:iCs/>
              </w:rPr>
            </w:pPr>
            <w:r>
              <w:rPr>
                <w:b/>
                <w:bCs/>
                <w:i/>
                <w:iCs/>
              </w:rPr>
              <w:t xml:space="preserve">Section </w:t>
            </w:r>
            <w:r w:rsidR="00FC4C17">
              <w:rPr>
                <w:b/>
                <w:bCs/>
                <w:i/>
                <w:iCs/>
              </w:rPr>
              <w:t>C</w:t>
            </w:r>
            <w:r>
              <w:rPr>
                <w:b/>
                <w:bCs/>
                <w:i/>
                <w:iCs/>
              </w:rPr>
              <w:t xml:space="preserve"> </w:t>
            </w:r>
            <w:r w:rsidR="003A459E">
              <w:rPr>
                <w:b/>
                <w:bCs/>
                <w:i/>
                <w:iCs/>
              </w:rPr>
              <w:t>–</w:t>
            </w:r>
            <w:r>
              <w:rPr>
                <w:b/>
                <w:bCs/>
                <w:i/>
                <w:iCs/>
              </w:rPr>
              <w:t xml:space="preserve"> </w:t>
            </w:r>
            <w:r w:rsidRPr="00391021">
              <w:rPr>
                <w:b/>
                <w:bCs/>
                <w:i/>
                <w:iCs/>
              </w:rPr>
              <w:t xml:space="preserve">Chemical </w:t>
            </w:r>
            <w:r w:rsidR="00E96862">
              <w:rPr>
                <w:b/>
                <w:bCs/>
                <w:i/>
                <w:iCs/>
              </w:rPr>
              <w:t>measurement</w:t>
            </w:r>
          </w:p>
        </w:tc>
      </w:tr>
      <w:tr w:rsidR="00BC4C78" w14:paraId="3FF36DE6" w14:textId="77777777" w:rsidTr="005C5DE3">
        <w:trPr>
          <w:trHeight w:val="300"/>
        </w:trPr>
        <w:tc>
          <w:tcPr>
            <w:tcW w:w="1098" w:type="pct"/>
          </w:tcPr>
          <w:p w14:paraId="1B6582E3" w14:textId="77777777" w:rsidR="00BC4C78" w:rsidRDefault="00BC4C78" w:rsidP="00561F79">
            <w:pPr>
              <w:spacing w:line="259" w:lineRule="auto"/>
            </w:pPr>
            <w:r>
              <w:t xml:space="preserve">Chemicals </w:t>
            </w:r>
          </w:p>
        </w:tc>
        <w:tc>
          <w:tcPr>
            <w:tcW w:w="3902" w:type="pct"/>
          </w:tcPr>
          <w:p w14:paraId="4360C76A" w14:textId="01F9FBB8" w:rsidR="00BC4C78" w:rsidRDefault="00BC4C78" w:rsidP="00DC1BA6">
            <w:pPr>
              <w:spacing w:after="120"/>
            </w:pPr>
            <w:r>
              <w:t>Amount of chemicals used.</w:t>
            </w:r>
          </w:p>
          <w:p w14:paraId="3FF86B99" w14:textId="64681D3F" w:rsidR="00BC4C78" w:rsidRDefault="42EEBD09" w:rsidP="00DC1BA6">
            <w:pPr>
              <w:spacing w:after="120"/>
            </w:pPr>
            <w:r>
              <w:t>If the acquisition of the inputs involves a commercial transaction, the quantity may be estimated based on the amounts delivered during the year (evidenced by invoices) as adjusted for the estimated change in the quantity of the stockpile of the inputs or the facility during the year.</w:t>
            </w:r>
          </w:p>
          <w:p w14:paraId="7A7CB2F4" w14:textId="5A8E7225" w:rsidR="00BC4C78" w:rsidRDefault="42EEBD09" w:rsidP="45BA7443">
            <w:r>
              <w:t xml:space="preserve">If the acquisition of the </w:t>
            </w:r>
            <w:r w:rsidR="15017869">
              <w:t xml:space="preserve">input </w:t>
            </w:r>
            <w:r>
              <w:t>does not involve a commercial transaction, the quantity may be estimated based on the quantities of inputs consumed from the operation of the activity; or derived from the amount of hydrogen or other by products produced from the operation of the activity. The measurement must be:</w:t>
            </w:r>
            <w:r w:rsidR="64C8D321">
              <w:tab/>
            </w:r>
          </w:p>
          <w:p w14:paraId="18A996DD" w14:textId="3542E8A5" w:rsidR="00BC4C78" w:rsidRDefault="42EEBD09" w:rsidP="00114278">
            <w:pPr>
              <w:pStyle w:val="ListParagraph"/>
              <w:numPr>
                <w:ilvl w:val="0"/>
                <w:numId w:val="15"/>
              </w:numPr>
            </w:pPr>
            <w:r>
              <w:t>carried out using measuring equipment calibrated to a measurement requirement; or</w:t>
            </w:r>
          </w:p>
          <w:p w14:paraId="205AEC40" w14:textId="5BF0C16E" w:rsidR="00BC4C78" w:rsidRDefault="42EEBD09" w:rsidP="006654E3">
            <w:pPr>
              <w:pStyle w:val="ListParagraph"/>
              <w:numPr>
                <w:ilvl w:val="0"/>
                <w:numId w:val="15"/>
              </w:numPr>
              <w:spacing w:after="120"/>
            </w:pPr>
            <w:r>
              <w:t>carried out at the point of sale using measuring equipment calibrated to a measurement requirement.</w:t>
            </w:r>
          </w:p>
        </w:tc>
      </w:tr>
      <w:tr w:rsidR="00BC4C78" w14:paraId="3FAD103B" w14:textId="77777777" w:rsidTr="005C5DE3">
        <w:trPr>
          <w:trHeight w:val="397"/>
        </w:trPr>
        <w:tc>
          <w:tcPr>
            <w:tcW w:w="5000" w:type="pct"/>
            <w:gridSpan w:val="2"/>
            <w:shd w:val="clear" w:color="auto" w:fill="D0CECE" w:themeFill="background2" w:themeFillShade="E6"/>
            <w:vAlign w:val="center"/>
          </w:tcPr>
          <w:p w14:paraId="78CBDB68" w14:textId="1A6DCE93" w:rsidR="00BC4C78" w:rsidRPr="00391021" w:rsidRDefault="00BC4C78" w:rsidP="000C5385">
            <w:pPr>
              <w:rPr>
                <w:b/>
                <w:bCs/>
                <w:i/>
                <w:iCs/>
              </w:rPr>
            </w:pPr>
            <w:r>
              <w:rPr>
                <w:b/>
                <w:bCs/>
                <w:i/>
                <w:iCs/>
              </w:rPr>
              <w:t xml:space="preserve">Section </w:t>
            </w:r>
            <w:r w:rsidR="00FC4C17">
              <w:rPr>
                <w:b/>
                <w:bCs/>
                <w:i/>
                <w:iCs/>
              </w:rPr>
              <w:t>D</w:t>
            </w:r>
            <w:r>
              <w:rPr>
                <w:b/>
                <w:bCs/>
                <w:i/>
                <w:iCs/>
              </w:rPr>
              <w:t xml:space="preserve"> – Water </w:t>
            </w:r>
            <w:r w:rsidR="00E96862">
              <w:rPr>
                <w:b/>
                <w:bCs/>
                <w:i/>
                <w:iCs/>
              </w:rPr>
              <w:t>measurement</w:t>
            </w:r>
          </w:p>
        </w:tc>
      </w:tr>
      <w:tr w:rsidR="00BC4C78" w14:paraId="2A405FE3" w14:textId="77777777" w:rsidTr="005C5DE3">
        <w:trPr>
          <w:trHeight w:val="300"/>
        </w:trPr>
        <w:tc>
          <w:tcPr>
            <w:tcW w:w="1098" w:type="pct"/>
          </w:tcPr>
          <w:p w14:paraId="6D546D30" w14:textId="77777777" w:rsidR="00BC4C78" w:rsidRDefault="00BC4C78" w:rsidP="00561F79">
            <w:r>
              <w:t>Imported water</w:t>
            </w:r>
          </w:p>
        </w:tc>
        <w:tc>
          <w:tcPr>
            <w:tcW w:w="3902" w:type="pct"/>
          </w:tcPr>
          <w:p w14:paraId="59D6F0D7" w14:textId="2EE162CE" w:rsidR="00BC4C78" w:rsidRDefault="00BC4C78" w:rsidP="00DC1BA6">
            <w:pPr>
              <w:spacing w:after="120"/>
            </w:pPr>
            <w:r>
              <w:t>Amount of water used.</w:t>
            </w:r>
          </w:p>
          <w:p w14:paraId="0B66073F" w14:textId="2A5FAE3B" w:rsidR="00BC4C78" w:rsidRDefault="172B3238" w:rsidP="00DC1BA6">
            <w:pPr>
              <w:spacing w:after="120"/>
            </w:pPr>
            <w:r>
              <w:t>If the acquisition of the inputs involves a commercial transaction, the quantity may be estimated based on the amounts delivered during the year (evidenced by invoices) as adjusted for the estimated change in the quantity of the stockpile of the inputs or the facility during the year.</w:t>
            </w:r>
          </w:p>
          <w:p w14:paraId="04EBF576" w14:textId="5A8E7225" w:rsidR="00BC4C78" w:rsidRDefault="172B3238" w:rsidP="45BA7443">
            <w:r>
              <w:t>If the acquisition of the input does not involve a commercial transaction, the quantity may be estimated based on the quantities of inputs consumed from the operation of the activity; or derived from the amount of hydrogen or other by products produced from the operation of the activity. The measurement must be:</w:t>
            </w:r>
            <w:r w:rsidR="4D29D8A1">
              <w:tab/>
            </w:r>
          </w:p>
          <w:p w14:paraId="6C8C6B5F" w14:textId="3542E8A5" w:rsidR="00BC4C78" w:rsidRDefault="172B3238" w:rsidP="00114278">
            <w:pPr>
              <w:pStyle w:val="ListParagraph"/>
              <w:numPr>
                <w:ilvl w:val="0"/>
                <w:numId w:val="15"/>
              </w:numPr>
            </w:pPr>
            <w:r>
              <w:t>carried out using measuring equipment calibrated to a measurement requirement; or</w:t>
            </w:r>
          </w:p>
          <w:p w14:paraId="5AEDCEC2" w14:textId="74AD24E7" w:rsidR="00BC4C78" w:rsidRDefault="172B3238" w:rsidP="001629D5">
            <w:pPr>
              <w:pStyle w:val="ListParagraph"/>
              <w:numPr>
                <w:ilvl w:val="0"/>
                <w:numId w:val="15"/>
              </w:numPr>
              <w:spacing w:after="120"/>
            </w:pPr>
            <w:r>
              <w:t>carried out at the point of sale using measuring equipment calibrated to a measurement requirement.</w:t>
            </w:r>
          </w:p>
        </w:tc>
      </w:tr>
      <w:tr w:rsidR="00BC4C78" w14:paraId="038FE136" w14:textId="77777777" w:rsidTr="005C5DE3">
        <w:trPr>
          <w:trHeight w:val="397"/>
        </w:trPr>
        <w:tc>
          <w:tcPr>
            <w:tcW w:w="5000" w:type="pct"/>
            <w:gridSpan w:val="2"/>
            <w:shd w:val="clear" w:color="auto" w:fill="D0CECE" w:themeFill="background2" w:themeFillShade="E6"/>
            <w:vAlign w:val="center"/>
          </w:tcPr>
          <w:p w14:paraId="02AB6009" w14:textId="77E9FD73" w:rsidR="00BC4C78" w:rsidRPr="00391021" w:rsidRDefault="00BC4C78" w:rsidP="000C5385">
            <w:pPr>
              <w:rPr>
                <w:b/>
                <w:bCs/>
                <w:i/>
                <w:iCs/>
              </w:rPr>
            </w:pPr>
            <w:r>
              <w:rPr>
                <w:b/>
                <w:bCs/>
                <w:i/>
                <w:iCs/>
              </w:rPr>
              <w:t xml:space="preserve">Section </w:t>
            </w:r>
            <w:r w:rsidR="00FC4C17">
              <w:rPr>
                <w:b/>
                <w:bCs/>
                <w:i/>
                <w:iCs/>
              </w:rPr>
              <w:t>E</w:t>
            </w:r>
            <w:r>
              <w:rPr>
                <w:b/>
                <w:bCs/>
                <w:i/>
                <w:iCs/>
              </w:rPr>
              <w:t xml:space="preserve"> – Steam </w:t>
            </w:r>
            <w:r w:rsidR="00E96862">
              <w:rPr>
                <w:b/>
                <w:bCs/>
                <w:i/>
                <w:iCs/>
              </w:rPr>
              <w:t>measurement</w:t>
            </w:r>
          </w:p>
        </w:tc>
      </w:tr>
      <w:tr w:rsidR="00BC4C78" w14:paraId="318462C1" w14:textId="77777777" w:rsidTr="005C5DE3">
        <w:trPr>
          <w:trHeight w:val="300"/>
        </w:trPr>
        <w:tc>
          <w:tcPr>
            <w:tcW w:w="1098" w:type="pct"/>
          </w:tcPr>
          <w:p w14:paraId="41BF80FA" w14:textId="77777777" w:rsidR="00BC4C78" w:rsidRDefault="00BC4C78" w:rsidP="00561F79">
            <w:r>
              <w:t>Imported steam</w:t>
            </w:r>
          </w:p>
        </w:tc>
        <w:tc>
          <w:tcPr>
            <w:tcW w:w="3902" w:type="pct"/>
          </w:tcPr>
          <w:p w14:paraId="11AB6F5C" w14:textId="1751F9DF" w:rsidR="00BC4C78" w:rsidRDefault="00BC4C78" w:rsidP="00DC1BA6">
            <w:pPr>
              <w:spacing w:after="120"/>
            </w:pPr>
            <w:r>
              <w:t>Amount of steam used.</w:t>
            </w:r>
          </w:p>
          <w:p w14:paraId="3CA02515" w14:textId="2B4051D6" w:rsidR="00BC4C78" w:rsidRDefault="6A39E2EF" w:rsidP="00DC1BA6">
            <w:pPr>
              <w:spacing w:after="120"/>
            </w:pPr>
            <w:r>
              <w:t>If the acquisition of the inputs involves a commercial transaction, the quantity may be estimated based on the amounts delivered during the year (evidenced by invoices) as adjusted for the estimated change in the quantity of the stockpile of the inputs or the facility during the year.</w:t>
            </w:r>
          </w:p>
          <w:p w14:paraId="7149A7CC" w14:textId="5A8E7225" w:rsidR="00BC4C78" w:rsidRDefault="6A39E2EF" w:rsidP="45BA7443">
            <w:r>
              <w:t>If the acquisition of the input does not involve a commercial transaction, the quantity may be estimated based on the quantities of inputs consumed from the operation of the activity; or derived from the amount of hydrogen or other by products produced from the operation of the activity. The measurement must be:</w:t>
            </w:r>
            <w:r w:rsidR="309A36C9">
              <w:tab/>
            </w:r>
          </w:p>
          <w:p w14:paraId="6B13CCE9" w14:textId="3542E8A5" w:rsidR="00BC4C78" w:rsidRDefault="6A39E2EF" w:rsidP="00114278">
            <w:pPr>
              <w:pStyle w:val="ListParagraph"/>
              <w:numPr>
                <w:ilvl w:val="0"/>
                <w:numId w:val="15"/>
              </w:numPr>
            </w:pPr>
            <w:r>
              <w:t>carried out using measuring equipment calibrated to a measurement requirement; or</w:t>
            </w:r>
          </w:p>
          <w:p w14:paraId="6AC3D5AB" w14:textId="34EFCC24" w:rsidR="00BC4C78" w:rsidRDefault="6A39E2EF" w:rsidP="001629D5">
            <w:pPr>
              <w:pStyle w:val="ListParagraph"/>
              <w:numPr>
                <w:ilvl w:val="0"/>
                <w:numId w:val="15"/>
              </w:numPr>
              <w:spacing w:after="120"/>
            </w:pPr>
            <w:r>
              <w:t>carried out at the point of sale using measuring equipment calibrated to a measurement requirement.</w:t>
            </w:r>
          </w:p>
        </w:tc>
      </w:tr>
      <w:tr w:rsidR="00BC4C78" w14:paraId="64F8A711" w14:textId="77777777" w:rsidTr="005C5DE3">
        <w:trPr>
          <w:trHeight w:val="397"/>
        </w:trPr>
        <w:tc>
          <w:tcPr>
            <w:tcW w:w="5000" w:type="pct"/>
            <w:gridSpan w:val="2"/>
            <w:shd w:val="clear" w:color="auto" w:fill="D0CECE" w:themeFill="background2" w:themeFillShade="E6"/>
            <w:vAlign w:val="center"/>
          </w:tcPr>
          <w:p w14:paraId="3ECD4C65" w14:textId="1611D2C2" w:rsidR="00BC4C78" w:rsidRPr="00391021" w:rsidRDefault="00BC4C78" w:rsidP="000C5385">
            <w:pPr>
              <w:rPr>
                <w:b/>
                <w:bCs/>
                <w:i/>
                <w:iCs/>
              </w:rPr>
            </w:pPr>
            <w:r>
              <w:rPr>
                <w:b/>
                <w:bCs/>
                <w:i/>
                <w:iCs/>
              </w:rPr>
              <w:t xml:space="preserve">Section </w:t>
            </w:r>
            <w:r w:rsidR="00FC4C17">
              <w:rPr>
                <w:b/>
                <w:bCs/>
                <w:i/>
                <w:iCs/>
              </w:rPr>
              <w:t>F</w:t>
            </w:r>
            <w:r>
              <w:rPr>
                <w:b/>
                <w:bCs/>
                <w:i/>
                <w:iCs/>
              </w:rPr>
              <w:t xml:space="preserve"> – Cooling </w:t>
            </w:r>
            <w:r w:rsidR="00E96862">
              <w:rPr>
                <w:b/>
                <w:bCs/>
                <w:i/>
                <w:iCs/>
              </w:rPr>
              <w:t>measurement</w:t>
            </w:r>
          </w:p>
        </w:tc>
      </w:tr>
      <w:tr w:rsidR="00BC4C78" w14:paraId="4058B603" w14:textId="77777777" w:rsidTr="005C5DE3">
        <w:trPr>
          <w:trHeight w:val="300"/>
        </w:trPr>
        <w:tc>
          <w:tcPr>
            <w:tcW w:w="1098" w:type="pct"/>
          </w:tcPr>
          <w:p w14:paraId="322E11FD" w14:textId="77777777" w:rsidR="00BC4C78" w:rsidRDefault="00BC4C78" w:rsidP="00561F79">
            <w:r>
              <w:t>Air cooling</w:t>
            </w:r>
          </w:p>
        </w:tc>
        <w:tc>
          <w:tcPr>
            <w:tcW w:w="3902" w:type="pct"/>
          </w:tcPr>
          <w:p w14:paraId="2C74F672" w14:textId="6B0853D8" w:rsidR="00BC4C78" w:rsidRDefault="00BC4C78" w:rsidP="00561F79">
            <w:r>
              <w:t xml:space="preserve">Consistent with Section 4.102(2) of the </w:t>
            </w:r>
            <w:r w:rsidR="00BA791F" w:rsidRPr="00BA791F">
              <w:rPr>
                <w:i/>
                <w:iCs/>
              </w:rPr>
              <w:t xml:space="preserve">NGER </w:t>
            </w:r>
            <w:r w:rsidRPr="004F4FA0">
              <w:rPr>
                <w:i/>
                <w:iCs/>
              </w:rPr>
              <w:t>Determination</w:t>
            </w:r>
            <w:r>
              <w:t>. An estimation of the stock of synthetic gases contained in an equipment type must be based on one of the following sources:</w:t>
            </w:r>
          </w:p>
          <w:p w14:paraId="1E1F3D98" w14:textId="77777777" w:rsidR="00BC4C78" w:rsidRDefault="00BC4C78" w:rsidP="00561F79">
            <w:pPr>
              <w:pStyle w:val="ListParagraph"/>
              <w:numPr>
                <w:ilvl w:val="0"/>
                <w:numId w:val="2"/>
              </w:numPr>
            </w:pPr>
            <w:r>
              <w:t>The stated capacity of the equipment according to manufacturer’s nameplate;</w:t>
            </w:r>
          </w:p>
          <w:p w14:paraId="2F8AC351" w14:textId="77777777" w:rsidR="00BC4C78" w:rsidRDefault="00BC4C78" w:rsidP="00561F79">
            <w:pPr>
              <w:pStyle w:val="ListParagraph"/>
              <w:numPr>
                <w:ilvl w:val="0"/>
                <w:numId w:val="2"/>
              </w:numPr>
            </w:pPr>
            <w:r>
              <w:t>Estimates based on:</w:t>
            </w:r>
          </w:p>
          <w:p w14:paraId="7973BEC2" w14:textId="77777777" w:rsidR="00BC4C78" w:rsidRDefault="00BC4C78" w:rsidP="00561F79">
            <w:pPr>
              <w:pStyle w:val="ListParagraph"/>
              <w:numPr>
                <w:ilvl w:val="1"/>
                <w:numId w:val="2"/>
              </w:numPr>
            </w:pPr>
            <w:r>
              <w:t>The opening stock of the gas equipment,</w:t>
            </w:r>
          </w:p>
          <w:p w14:paraId="686A0B7D" w14:textId="77777777" w:rsidR="00BC4C78" w:rsidRDefault="00BC4C78" w:rsidP="00561F79">
            <w:pPr>
              <w:pStyle w:val="ListParagraph"/>
              <w:numPr>
                <w:ilvl w:val="1"/>
                <w:numId w:val="2"/>
              </w:numPr>
            </w:pPr>
            <w:r>
              <w:t>Transfers into the facility from additions of gas from purchases of new equipment and replenishments</w:t>
            </w:r>
          </w:p>
          <w:p w14:paraId="4747B3B8" w14:textId="77777777" w:rsidR="00BC4C78" w:rsidRDefault="00BC4C78" w:rsidP="001629D5">
            <w:pPr>
              <w:pStyle w:val="ListParagraph"/>
              <w:numPr>
                <w:ilvl w:val="1"/>
                <w:numId w:val="2"/>
              </w:numPr>
              <w:spacing w:after="120"/>
            </w:pPr>
            <w:r>
              <w:t>Transfers out of the facility from disposal of equipment or gas.</w:t>
            </w:r>
          </w:p>
        </w:tc>
      </w:tr>
      <w:tr w:rsidR="00BC4C78" w14:paraId="0B80CDE8" w14:textId="77777777" w:rsidTr="005C5DE3">
        <w:trPr>
          <w:trHeight w:val="300"/>
        </w:trPr>
        <w:tc>
          <w:tcPr>
            <w:tcW w:w="1098" w:type="pct"/>
          </w:tcPr>
          <w:p w14:paraId="264B6DEE" w14:textId="77777777" w:rsidR="00BC4C78" w:rsidRDefault="00BC4C78" w:rsidP="00561F79">
            <w:r>
              <w:t>Water cooling</w:t>
            </w:r>
          </w:p>
        </w:tc>
        <w:tc>
          <w:tcPr>
            <w:tcW w:w="3902" w:type="pct"/>
          </w:tcPr>
          <w:p w14:paraId="36C4F8F6" w14:textId="039D8EB1" w:rsidR="00BC4C78" w:rsidRDefault="00BC4C78" w:rsidP="00561F79">
            <w:r>
              <w:t xml:space="preserve">Consistent with Section 4.102(2) of the </w:t>
            </w:r>
            <w:r w:rsidR="00CC568B" w:rsidRPr="00CC568B">
              <w:rPr>
                <w:i/>
                <w:iCs/>
              </w:rPr>
              <w:t xml:space="preserve">NGER </w:t>
            </w:r>
            <w:r w:rsidRPr="004F4FA0">
              <w:rPr>
                <w:i/>
                <w:iCs/>
              </w:rPr>
              <w:t>Determination</w:t>
            </w:r>
            <w:r>
              <w:t>. An estimation of the stock of synthetic gases contained in an equipment type must be based on one of the following sources:</w:t>
            </w:r>
          </w:p>
          <w:p w14:paraId="3D8FC35E" w14:textId="77777777" w:rsidR="00BC4C78" w:rsidRDefault="00BC4C78" w:rsidP="00561F79">
            <w:pPr>
              <w:pStyle w:val="ListParagraph"/>
              <w:numPr>
                <w:ilvl w:val="0"/>
                <w:numId w:val="2"/>
              </w:numPr>
            </w:pPr>
            <w:r>
              <w:t>The stated capacity of the equipment according to manufacturer’s nameplate;</w:t>
            </w:r>
          </w:p>
          <w:p w14:paraId="4F46CA5C" w14:textId="77777777" w:rsidR="00BC4C78" w:rsidRDefault="00BC4C78" w:rsidP="00561F79">
            <w:pPr>
              <w:pStyle w:val="ListParagraph"/>
              <w:numPr>
                <w:ilvl w:val="0"/>
                <w:numId w:val="2"/>
              </w:numPr>
            </w:pPr>
            <w:r>
              <w:t>Estimates based on:</w:t>
            </w:r>
          </w:p>
          <w:p w14:paraId="69CE03C3" w14:textId="77777777" w:rsidR="00BC4C78" w:rsidRDefault="00BC4C78" w:rsidP="00561F79">
            <w:pPr>
              <w:pStyle w:val="ListParagraph"/>
              <w:numPr>
                <w:ilvl w:val="1"/>
                <w:numId w:val="2"/>
              </w:numPr>
            </w:pPr>
            <w:r>
              <w:t>The opening stock of the gas equipment,</w:t>
            </w:r>
          </w:p>
          <w:p w14:paraId="1F732F9A" w14:textId="77777777" w:rsidR="00BC4C78" w:rsidRDefault="00BC4C78" w:rsidP="00561F79">
            <w:pPr>
              <w:pStyle w:val="ListParagraph"/>
              <w:numPr>
                <w:ilvl w:val="1"/>
                <w:numId w:val="2"/>
              </w:numPr>
            </w:pPr>
            <w:r>
              <w:t>Transfers into the facility from additions of gas from purchases of new equipment and replenishments</w:t>
            </w:r>
          </w:p>
          <w:p w14:paraId="20F5DFAB" w14:textId="77777777" w:rsidR="00BC4C78" w:rsidRDefault="00BC4C78" w:rsidP="00F01CD4">
            <w:pPr>
              <w:pStyle w:val="ListParagraph"/>
              <w:numPr>
                <w:ilvl w:val="1"/>
                <w:numId w:val="2"/>
              </w:numPr>
              <w:spacing w:after="120"/>
            </w:pPr>
            <w:r>
              <w:t>Transfers out of the facility from disposal of equipment or gas.</w:t>
            </w:r>
          </w:p>
        </w:tc>
      </w:tr>
      <w:tr w:rsidR="00BC4C78" w14:paraId="26032E1E" w14:textId="77777777" w:rsidTr="005C5DE3">
        <w:trPr>
          <w:trHeight w:val="300"/>
        </w:trPr>
        <w:tc>
          <w:tcPr>
            <w:tcW w:w="1098" w:type="pct"/>
          </w:tcPr>
          <w:p w14:paraId="6767F8D9" w14:textId="77777777" w:rsidR="00BC4C78" w:rsidRDefault="00BC4C78" w:rsidP="00561F79">
            <w:r>
              <w:t>Heat pumps</w:t>
            </w:r>
          </w:p>
        </w:tc>
        <w:tc>
          <w:tcPr>
            <w:tcW w:w="3902" w:type="pct"/>
          </w:tcPr>
          <w:p w14:paraId="1AC2862F" w14:textId="05D198B4" w:rsidR="00BC4C78" w:rsidRDefault="00BC4C78" w:rsidP="00561F79">
            <w:r>
              <w:t xml:space="preserve">Consistent with Section 4.102(2) of the </w:t>
            </w:r>
            <w:r w:rsidR="00CC568B" w:rsidRPr="00CC568B">
              <w:rPr>
                <w:i/>
                <w:iCs/>
              </w:rPr>
              <w:t xml:space="preserve">NGER </w:t>
            </w:r>
            <w:r w:rsidRPr="004F4FA0">
              <w:rPr>
                <w:i/>
                <w:iCs/>
              </w:rPr>
              <w:t>Determination</w:t>
            </w:r>
            <w:r>
              <w:t>. An estimation of the stock of synthetic gases contained in an equipment type must be based on one of the following sources:</w:t>
            </w:r>
          </w:p>
          <w:p w14:paraId="33A27B63" w14:textId="77777777" w:rsidR="00BC4C78" w:rsidRDefault="00BC4C78" w:rsidP="00561F79">
            <w:pPr>
              <w:pStyle w:val="ListParagraph"/>
              <w:numPr>
                <w:ilvl w:val="0"/>
                <w:numId w:val="2"/>
              </w:numPr>
            </w:pPr>
            <w:r>
              <w:t>The stated capacity of the equipment according to manufacturer’s nameplate;</w:t>
            </w:r>
          </w:p>
          <w:p w14:paraId="7B645549" w14:textId="77777777" w:rsidR="00BC4C78" w:rsidRDefault="00BC4C78" w:rsidP="00561F79">
            <w:pPr>
              <w:pStyle w:val="ListParagraph"/>
              <w:numPr>
                <w:ilvl w:val="0"/>
                <w:numId w:val="2"/>
              </w:numPr>
            </w:pPr>
            <w:r>
              <w:t>Estimates based on:</w:t>
            </w:r>
          </w:p>
          <w:p w14:paraId="5328C6EE" w14:textId="77777777" w:rsidR="00BC4C78" w:rsidRDefault="00BC4C78" w:rsidP="00561F79">
            <w:pPr>
              <w:pStyle w:val="ListParagraph"/>
              <w:numPr>
                <w:ilvl w:val="1"/>
                <w:numId w:val="2"/>
              </w:numPr>
            </w:pPr>
            <w:r>
              <w:t>The opening stock of the gas equipment,</w:t>
            </w:r>
          </w:p>
          <w:p w14:paraId="5E648A93" w14:textId="77777777" w:rsidR="00BC4C78" w:rsidRDefault="00BC4C78" w:rsidP="00561F79">
            <w:pPr>
              <w:pStyle w:val="ListParagraph"/>
              <w:numPr>
                <w:ilvl w:val="1"/>
                <w:numId w:val="2"/>
              </w:numPr>
            </w:pPr>
            <w:r>
              <w:t>Transfers into the facility from additions of gas from purchases of new equipment and replenishments</w:t>
            </w:r>
          </w:p>
          <w:p w14:paraId="52251BBE" w14:textId="77777777" w:rsidR="00BC4C78" w:rsidRDefault="00BC4C78" w:rsidP="00F01CD4">
            <w:pPr>
              <w:pStyle w:val="ListParagraph"/>
              <w:numPr>
                <w:ilvl w:val="1"/>
                <w:numId w:val="2"/>
              </w:numPr>
              <w:spacing w:after="120"/>
            </w:pPr>
            <w:r>
              <w:t>Transfers out of the facility from disposal of equipment or gas.</w:t>
            </w:r>
          </w:p>
        </w:tc>
      </w:tr>
      <w:tr w:rsidR="00822C20" w14:paraId="360FEEB5" w14:textId="77777777" w:rsidTr="005C5DE3">
        <w:trPr>
          <w:trHeight w:val="397"/>
        </w:trPr>
        <w:tc>
          <w:tcPr>
            <w:tcW w:w="5000" w:type="pct"/>
            <w:gridSpan w:val="2"/>
            <w:shd w:val="clear" w:color="auto" w:fill="D0CECE" w:themeFill="background2" w:themeFillShade="E6"/>
            <w:vAlign w:val="center"/>
          </w:tcPr>
          <w:p w14:paraId="1628CB67" w14:textId="4C874975" w:rsidR="00822C20" w:rsidRPr="00391021" w:rsidRDefault="00822C20" w:rsidP="000C5385">
            <w:pPr>
              <w:rPr>
                <w:b/>
                <w:bCs/>
                <w:i/>
                <w:iCs/>
              </w:rPr>
            </w:pPr>
            <w:r>
              <w:rPr>
                <w:b/>
                <w:bCs/>
                <w:i/>
                <w:iCs/>
              </w:rPr>
              <w:t>Section G – Carbon capture and storage</w:t>
            </w:r>
            <w:r w:rsidR="00E96862">
              <w:rPr>
                <w:b/>
                <w:bCs/>
                <w:i/>
                <w:iCs/>
              </w:rPr>
              <w:t xml:space="preserve"> measurements</w:t>
            </w:r>
            <w:r>
              <w:rPr>
                <w:b/>
                <w:bCs/>
                <w:i/>
                <w:iCs/>
              </w:rPr>
              <w:t xml:space="preserve"> </w:t>
            </w:r>
          </w:p>
        </w:tc>
      </w:tr>
      <w:tr w:rsidR="00822C20" w14:paraId="5E4EAEED" w14:textId="77777777" w:rsidTr="005C5DE3">
        <w:trPr>
          <w:trHeight w:val="300"/>
        </w:trPr>
        <w:tc>
          <w:tcPr>
            <w:tcW w:w="1098" w:type="pct"/>
          </w:tcPr>
          <w:p w14:paraId="26816632" w14:textId="02FD6ED8" w:rsidR="00822C20" w:rsidRDefault="00822C20" w:rsidP="00561F79">
            <w:r>
              <w:t>CCS</w:t>
            </w:r>
          </w:p>
        </w:tc>
        <w:tc>
          <w:tcPr>
            <w:tcW w:w="3902" w:type="pct"/>
          </w:tcPr>
          <w:p w14:paraId="4D3A5345" w14:textId="33DE135F" w:rsidR="00822C20" w:rsidRDefault="00822C20" w:rsidP="001629D5">
            <w:pPr>
              <w:spacing w:after="120"/>
            </w:pPr>
            <w:r>
              <w:t xml:space="preserve">The quantity of greenhouse gases must be measured in accordance with Section 1.19E of the </w:t>
            </w:r>
            <w:r w:rsidR="00CC568B" w:rsidRPr="00CC568B">
              <w:rPr>
                <w:i/>
                <w:iCs/>
              </w:rPr>
              <w:t xml:space="preserve">NGER </w:t>
            </w:r>
            <w:r w:rsidRPr="0AE29DBC">
              <w:rPr>
                <w:i/>
                <w:iCs/>
              </w:rPr>
              <w:t>Determination</w:t>
            </w:r>
            <w:r>
              <w:t xml:space="preserve">. The measurement guidance requires that the volume of greenhouse gas must be expressed in standard cubic metres. To convert from cubic meters to kilograms of carbon dioxide equivalent the conversion factor specified in Section 3.91 of the </w:t>
            </w:r>
            <w:r w:rsidR="00270474" w:rsidRPr="004521FB">
              <w:rPr>
                <w:i/>
                <w:iCs/>
              </w:rPr>
              <w:t>NGER</w:t>
            </w:r>
            <w:r w:rsidR="00270474">
              <w:t xml:space="preserve"> </w:t>
            </w:r>
            <w:r w:rsidRPr="0AE29DBC">
              <w:rPr>
                <w:i/>
                <w:iCs/>
              </w:rPr>
              <w:t>Determination</w:t>
            </w:r>
            <w:r>
              <w:t xml:space="preserve">.  </w:t>
            </w:r>
          </w:p>
        </w:tc>
      </w:tr>
      <w:tr w:rsidR="00822C20" w14:paraId="6B9F5E69" w14:textId="77777777" w:rsidTr="005C5DE3">
        <w:trPr>
          <w:trHeight w:val="300"/>
        </w:trPr>
        <w:tc>
          <w:tcPr>
            <w:tcW w:w="1098" w:type="pct"/>
          </w:tcPr>
          <w:p w14:paraId="4AE317C2" w14:textId="77E048CC" w:rsidR="00822C20" w:rsidRDefault="00272DA3" w:rsidP="00561F79">
            <w:r>
              <w:t>Losses</w:t>
            </w:r>
          </w:p>
        </w:tc>
        <w:tc>
          <w:tcPr>
            <w:tcW w:w="3902" w:type="pct"/>
          </w:tcPr>
          <w:p w14:paraId="051337E2" w14:textId="22946114" w:rsidR="00822C20" w:rsidRDefault="155A0117" w:rsidP="001629D5">
            <w:pPr>
              <w:spacing w:after="120"/>
            </w:pPr>
            <w:r>
              <w:t>The fugitive emissions incurred during the transport</w:t>
            </w:r>
            <w:r w:rsidR="150662D4">
              <w:t>, injection and geological storage</w:t>
            </w:r>
            <w:r>
              <w:t xml:space="preserve"> of greenhouse gases must be measured in accordance with </w:t>
            </w:r>
            <w:r w:rsidR="7885B993">
              <w:t>Part 3.4</w:t>
            </w:r>
            <w:r w:rsidR="004521FB">
              <w:t xml:space="preserve"> </w:t>
            </w:r>
            <w:r w:rsidR="7E71BD0B">
              <w:t>of</w:t>
            </w:r>
            <w:r>
              <w:t xml:space="preserve"> the </w:t>
            </w:r>
            <w:r w:rsidR="003167A6" w:rsidRPr="003167A6">
              <w:rPr>
                <w:i/>
                <w:iCs/>
              </w:rPr>
              <w:t>NGER</w:t>
            </w:r>
            <w:r w:rsidR="003167A6">
              <w:t xml:space="preserve"> </w:t>
            </w:r>
            <w:r w:rsidRPr="0AE29DBC">
              <w:rPr>
                <w:i/>
                <w:iCs/>
              </w:rPr>
              <w:t>Determination</w:t>
            </w:r>
            <w:r>
              <w:t xml:space="preserve">. </w:t>
            </w:r>
          </w:p>
        </w:tc>
      </w:tr>
      <w:tr w:rsidR="00E858D4" w14:paraId="0EDF2EA9" w14:textId="77777777" w:rsidTr="005C5DE3">
        <w:trPr>
          <w:trHeight w:val="397"/>
        </w:trPr>
        <w:tc>
          <w:tcPr>
            <w:tcW w:w="5000" w:type="pct"/>
            <w:gridSpan w:val="2"/>
            <w:shd w:val="clear" w:color="auto" w:fill="D0CECE" w:themeFill="background2" w:themeFillShade="E6"/>
            <w:vAlign w:val="center"/>
          </w:tcPr>
          <w:p w14:paraId="140E97B8" w14:textId="67965529" w:rsidR="00E858D4" w:rsidRPr="00391021" w:rsidRDefault="00E858D4" w:rsidP="000C5385">
            <w:pPr>
              <w:rPr>
                <w:b/>
                <w:bCs/>
                <w:i/>
                <w:iCs/>
              </w:rPr>
            </w:pPr>
            <w:r>
              <w:rPr>
                <w:b/>
                <w:bCs/>
                <w:i/>
                <w:iCs/>
              </w:rPr>
              <w:t xml:space="preserve">Section H – </w:t>
            </w:r>
            <w:r w:rsidR="00FE28CB">
              <w:rPr>
                <w:b/>
                <w:bCs/>
                <w:i/>
                <w:iCs/>
              </w:rPr>
              <w:t>Product and c</w:t>
            </w:r>
            <w:r>
              <w:rPr>
                <w:b/>
                <w:bCs/>
                <w:i/>
                <w:iCs/>
              </w:rPr>
              <w:t>o-product</w:t>
            </w:r>
            <w:r w:rsidR="00E96862">
              <w:rPr>
                <w:b/>
                <w:bCs/>
                <w:i/>
                <w:iCs/>
              </w:rPr>
              <w:t xml:space="preserve"> measurement</w:t>
            </w:r>
          </w:p>
        </w:tc>
      </w:tr>
      <w:tr w:rsidR="00E858D4" w14:paraId="1B97F3EB" w14:textId="77777777" w:rsidTr="005C5DE3">
        <w:trPr>
          <w:trHeight w:val="300"/>
        </w:trPr>
        <w:tc>
          <w:tcPr>
            <w:tcW w:w="1098" w:type="pct"/>
          </w:tcPr>
          <w:p w14:paraId="75C53D23" w14:textId="3209B7BC" w:rsidR="00E858D4" w:rsidRDefault="00A24E74" w:rsidP="00561F79">
            <w:r>
              <w:t>Exported Product</w:t>
            </w:r>
          </w:p>
        </w:tc>
        <w:tc>
          <w:tcPr>
            <w:tcW w:w="3902" w:type="pct"/>
          </w:tcPr>
          <w:p w14:paraId="298B20AC" w14:textId="48478DCA" w:rsidR="00A24E74" w:rsidRDefault="00A24E74" w:rsidP="00404309">
            <w:pPr>
              <w:spacing w:after="120"/>
            </w:pPr>
            <w:r>
              <w:t xml:space="preserve">The amount of product produced should be measured to a reasonable standard. Where the product is considered a fuel, it should adhere to </w:t>
            </w:r>
            <w:r w:rsidRPr="003A7B1F">
              <w:rPr>
                <w:i/>
                <w:iCs/>
              </w:rPr>
              <w:t xml:space="preserve">NGER </w:t>
            </w:r>
            <w:r w:rsidR="00D0335A">
              <w:rPr>
                <w:i/>
                <w:iCs/>
              </w:rPr>
              <w:t>D</w:t>
            </w:r>
            <w:r w:rsidRPr="003A7B1F">
              <w:rPr>
                <w:i/>
                <w:iCs/>
              </w:rPr>
              <w:t xml:space="preserve">etermination </w:t>
            </w:r>
            <w:r w:rsidRPr="00D0335A">
              <w:t>Part 6.1</w:t>
            </w:r>
            <w:r>
              <w:t xml:space="preserve">. In the case where the product is not a fuel or </w:t>
            </w:r>
            <w:r w:rsidR="00A37864">
              <w:t xml:space="preserve">otherwise </w:t>
            </w:r>
            <w:r>
              <w:t>a greenhouse gas, industry standards and commercially accepted metering is required.</w:t>
            </w:r>
          </w:p>
          <w:p w14:paraId="2AC75CCB" w14:textId="597127D2" w:rsidR="00E858D4" w:rsidRDefault="128CB80F" w:rsidP="001629D5">
            <w:pPr>
              <w:spacing w:after="120"/>
            </w:pPr>
            <w:r>
              <w:t>For secondary properties are required such as pressure or temperature requirements on certificates, these will have to adhere to at least industry standard practice.</w:t>
            </w:r>
          </w:p>
        </w:tc>
      </w:tr>
      <w:tr w:rsidR="005341A8" w14:paraId="66E524AF" w14:textId="77777777" w:rsidTr="005C5DE3">
        <w:trPr>
          <w:trHeight w:val="397"/>
        </w:trPr>
        <w:tc>
          <w:tcPr>
            <w:tcW w:w="5000" w:type="pct"/>
            <w:gridSpan w:val="2"/>
            <w:shd w:val="clear" w:color="auto" w:fill="D0CECE" w:themeFill="background2" w:themeFillShade="E6"/>
            <w:vAlign w:val="center"/>
          </w:tcPr>
          <w:p w14:paraId="15DD53D1" w14:textId="0A1D38F1" w:rsidR="005341A8" w:rsidRPr="00391021" w:rsidRDefault="005341A8" w:rsidP="000C5385">
            <w:pPr>
              <w:rPr>
                <w:b/>
                <w:bCs/>
                <w:i/>
                <w:iCs/>
              </w:rPr>
            </w:pPr>
            <w:r>
              <w:rPr>
                <w:b/>
                <w:bCs/>
                <w:i/>
                <w:iCs/>
              </w:rPr>
              <w:t xml:space="preserve">Section I – Direct emissions measurement  </w:t>
            </w:r>
          </w:p>
        </w:tc>
      </w:tr>
      <w:tr w:rsidR="005341A8" w14:paraId="7CA62761" w14:textId="77777777" w:rsidTr="005C5DE3">
        <w:trPr>
          <w:trHeight w:val="300"/>
        </w:trPr>
        <w:tc>
          <w:tcPr>
            <w:tcW w:w="1098" w:type="pct"/>
          </w:tcPr>
          <w:p w14:paraId="55FF1099" w14:textId="68D50DAF" w:rsidR="005341A8" w:rsidRDefault="005341A8" w:rsidP="00561F79">
            <w:r>
              <w:t>Emissions metering</w:t>
            </w:r>
          </w:p>
        </w:tc>
        <w:tc>
          <w:tcPr>
            <w:tcW w:w="3902" w:type="pct"/>
          </w:tcPr>
          <w:p w14:paraId="352C93FA" w14:textId="0D0F7B4A" w:rsidR="005341A8" w:rsidRDefault="005341A8" w:rsidP="001629D5">
            <w:pPr>
              <w:spacing w:after="120"/>
            </w:pPr>
            <w:r>
              <w:t xml:space="preserve">The direct measurement of emissions can be done using either continuous or periodic emissions monitoring in accordance with Part 1.3 of the </w:t>
            </w:r>
            <w:r w:rsidR="00FF4F1D" w:rsidRPr="0041089A">
              <w:rPr>
                <w:rFonts w:ascii="Calibri" w:eastAsia="Times New Roman" w:hAnsi="Calibri" w:cs="Calibri"/>
                <w:i/>
                <w:lang w:eastAsia="en-AU"/>
              </w:rPr>
              <w:t>NGER</w:t>
            </w:r>
            <w:r w:rsidR="00FF4F1D" w:rsidRPr="0041089A">
              <w:rPr>
                <w:rFonts w:ascii="Calibri" w:eastAsia="Times New Roman" w:hAnsi="Calibri" w:cs="Calibri"/>
                <w:lang w:eastAsia="en-AU"/>
              </w:rPr>
              <w:t xml:space="preserve"> </w:t>
            </w:r>
            <w:r w:rsidRPr="0041089A">
              <w:rPr>
                <w:rFonts w:ascii="Calibri" w:eastAsia="Times New Roman" w:hAnsi="Calibri" w:cs="Calibri"/>
                <w:i/>
                <w:lang w:eastAsia="en-AU"/>
              </w:rPr>
              <w:t>Determination</w:t>
            </w:r>
            <w:r>
              <w:t xml:space="preserve">. The emissions measured using this direct measurement approach must be reported </w:t>
            </w:r>
            <w:r w:rsidR="00A158F0">
              <w:t>as mass</w:t>
            </w:r>
            <w:r>
              <w:t xml:space="preserve"> of carbon dioxide equivalent.</w:t>
            </w:r>
          </w:p>
        </w:tc>
      </w:tr>
    </w:tbl>
    <w:p w14:paraId="5C625D08" w14:textId="32F10715" w:rsidR="00FC4C17" w:rsidRDefault="00FC4C17" w:rsidP="00E07BA3">
      <w:pPr>
        <w:pStyle w:val="Heading3"/>
        <w:spacing w:before="200"/>
      </w:pPr>
      <w:r>
        <w:t>Conversion factors</w:t>
      </w:r>
    </w:p>
    <w:p w14:paraId="27F3D4B1" w14:textId="63378EBE" w:rsidR="007767FD" w:rsidRDefault="00FC4C17" w:rsidP="0052005E">
      <w:r>
        <w:t xml:space="preserve">The measurement standards specified above may not be in the appropriate units for use in the GO scheme. </w:t>
      </w:r>
      <w:r w:rsidR="007767FD">
        <w:t xml:space="preserve">There may be a need to convert from the measurement units specified in the NGER Determination into units that </w:t>
      </w:r>
      <w:r w:rsidR="00A30430">
        <w:t xml:space="preserve">correspond to </w:t>
      </w:r>
      <w:r w:rsidR="00DF52E7">
        <w:t xml:space="preserve">the emissions factors they are being combined with to estimate emissions. </w:t>
      </w:r>
      <w:r w:rsidR="0052005E">
        <w:t xml:space="preserve">The </w:t>
      </w:r>
      <w:hyperlink r:id="rId20" w:history="1">
        <w:r w:rsidR="0052005E" w:rsidRPr="001D4B06">
          <w:rPr>
            <w:rStyle w:val="Hyperlink"/>
            <w:i/>
            <w:iCs/>
          </w:rPr>
          <w:t>National Measurement Act 1960</w:t>
        </w:r>
      </w:hyperlink>
      <w:r w:rsidR="0052005E">
        <w:t xml:space="preserve">, and any instrument made under that Act should be used for conversions, consistent with Section 1.15 of the NGER Determination. </w:t>
      </w:r>
    </w:p>
    <w:p w14:paraId="58509FE8" w14:textId="77B19960" w:rsidR="007767FD" w:rsidRDefault="22C45F1A" w:rsidP="00FC4C17">
      <w:r>
        <w:t xml:space="preserve">Conversion factors may also be found in Appendix 1 of the </w:t>
      </w:r>
      <w:r w:rsidR="00F56CD1">
        <w:t>NGA</w:t>
      </w:r>
      <w:r>
        <w:t xml:space="preserve"> Factor</w:t>
      </w:r>
      <w:r w:rsidR="0016090B">
        <w:t>s</w:t>
      </w:r>
      <w:r w:rsidR="00932E9C" w:rsidRPr="007A5B6A">
        <w:rPr>
          <w:vertAlign w:val="superscript"/>
        </w:rPr>
        <w:fldChar w:fldCharType="begin"/>
      </w:r>
      <w:r w:rsidR="00932E9C" w:rsidRPr="007A5B6A">
        <w:rPr>
          <w:vertAlign w:val="superscript"/>
        </w:rPr>
        <w:instrText xml:space="preserve"> NOTEREF _Ref142576756 \h </w:instrText>
      </w:r>
      <w:r w:rsidR="00932E9C">
        <w:rPr>
          <w:vertAlign w:val="superscript"/>
        </w:rPr>
        <w:instrText xml:space="preserve"> \* MERGEFORMAT</w:instrText>
      </w:r>
      <w:r w:rsidR="00932E9C" w:rsidRPr="00027C13">
        <w:rPr>
          <w:vertAlign w:val="superscript"/>
        </w:rPr>
        <w:instrText xml:space="preserve"> </w:instrText>
      </w:r>
      <w:r w:rsidR="00932E9C" w:rsidRPr="007A5B6A">
        <w:rPr>
          <w:vertAlign w:val="superscript"/>
        </w:rPr>
      </w:r>
      <w:r w:rsidR="00932E9C" w:rsidRPr="007A5B6A">
        <w:rPr>
          <w:vertAlign w:val="superscript"/>
        </w:rPr>
        <w:fldChar w:fldCharType="separate"/>
      </w:r>
      <w:r w:rsidR="00785FEC">
        <w:rPr>
          <w:vertAlign w:val="superscript"/>
        </w:rPr>
        <w:t>2</w:t>
      </w:r>
      <w:r w:rsidR="00932E9C" w:rsidRPr="007A5B6A">
        <w:rPr>
          <w:vertAlign w:val="superscript"/>
        </w:rPr>
        <w:fldChar w:fldCharType="end"/>
      </w:r>
      <w:r>
        <w:t xml:space="preserve"> Workbook. </w:t>
      </w:r>
    </w:p>
    <w:p w14:paraId="39A5548D" w14:textId="2522DF7C" w:rsidR="00135199" w:rsidRDefault="00CB46C9" w:rsidP="00BB357C">
      <w:pPr>
        <w:pStyle w:val="Heading2"/>
        <w:spacing w:before="360"/>
      </w:pPr>
      <w:bookmarkStart w:id="177" w:name="_Ref137634570"/>
      <w:bookmarkStart w:id="178" w:name="_Ref137634581"/>
      <w:bookmarkStart w:id="179" w:name="_Ref137634586"/>
      <w:bookmarkStart w:id="180" w:name="_Ref137634593"/>
      <w:bookmarkStart w:id="181" w:name="_Toc146029800"/>
      <w:r>
        <w:t>Emissions</w:t>
      </w:r>
      <w:r w:rsidR="00135199">
        <w:t xml:space="preserve"> factors</w:t>
      </w:r>
      <w:bookmarkEnd w:id="177"/>
      <w:bookmarkEnd w:id="178"/>
      <w:bookmarkEnd w:id="179"/>
      <w:bookmarkEnd w:id="180"/>
      <w:bookmarkEnd w:id="181"/>
    </w:p>
    <w:p w14:paraId="4816EBC8" w14:textId="049D3B3C" w:rsidR="00E858D4" w:rsidRDefault="00AD2968" w:rsidP="00135199">
      <w:r>
        <w:t xml:space="preserve">Emissions factors will be integral to the operation of the GO scheme </w:t>
      </w:r>
      <w:r w:rsidR="00266D30">
        <w:t xml:space="preserve">as </w:t>
      </w:r>
      <w:r w:rsidR="00DC42B0">
        <w:t xml:space="preserve">a part of the </w:t>
      </w:r>
      <w:r w:rsidR="009B50B4">
        <w:t xml:space="preserve">guidance for </w:t>
      </w:r>
      <w:r w:rsidR="0020482E">
        <w:t xml:space="preserve">almost all </w:t>
      </w:r>
      <w:r w:rsidR="00DC42B0">
        <w:t>emissions calculations</w:t>
      </w:r>
      <w:r w:rsidR="0020482E">
        <w:t>. The sections below cover off on the proposed</w:t>
      </w:r>
      <w:r w:rsidR="00DC42B0">
        <w:t xml:space="preserve"> </w:t>
      </w:r>
      <w:r w:rsidR="00287AFD">
        <w:t>default emissions factors that will be used, as well as the potential for supplier</w:t>
      </w:r>
      <w:r w:rsidR="004C0C48">
        <w:t xml:space="preserve"> </w:t>
      </w:r>
      <w:r w:rsidR="00287AFD">
        <w:t>specific factors to be developed in the future.</w:t>
      </w:r>
    </w:p>
    <w:p w14:paraId="523715D3" w14:textId="5D9508BE" w:rsidR="00135199" w:rsidRDefault="00E858D4" w:rsidP="00E07BA3">
      <w:pPr>
        <w:pStyle w:val="Heading3"/>
        <w:spacing w:before="200"/>
      </w:pPr>
      <w:r>
        <w:t xml:space="preserve">Upstream </w:t>
      </w:r>
      <w:r w:rsidR="00135199">
        <w:t>emissions</w:t>
      </w:r>
      <w:r w:rsidR="00C03E97">
        <w:t xml:space="preserve"> factors</w:t>
      </w:r>
    </w:p>
    <w:p w14:paraId="7A883BE0" w14:textId="4514FDD6" w:rsidR="00CB46C9" w:rsidRDefault="00403C3A" w:rsidP="00CB46C9">
      <w:r>
        <w:t>U</w:t>
      </w:r>
      <w:r w:rsidR="005E5D5C">
        <w:t xml:space="preserve">pstream emissions factors </w:t>
      </w:r>
      <w:r w:rsidR="00B57A7B">
        <w:t xml:space="preserve">are </w:t>
      </w:r>
      <w:r w:rsidR="00C03E97">
        <w:t>intended to be u</w:t>
      </w:r>
      <w:r>
        <w:t>sed to</w:t>
      </w:r>
      <w:r w:rsidR="00C03E97">
        <w:t xml:space="preserve"> estimat</w:t>
      </w:r>
      <w:r>
        <w:t>e</w:t>
      </w:r>
      <w:r w:rsidR="00C03E97">
        <w:t xml:space="preserve"> the </w:t>
      </w:r>
      <w:r w:rsidR="00B40F4A">
        <w:t xml:space="preserve">upstream </w:t>
      </w:r>
      <w:r w:rsidR="00C03E97">
        <w:t xml:space="preserve">emissions </w:t>
      </w:r>
      <w:r w:rsidR="00E8053D">
        <w:t>(</w:t>
      </w:r>
      <w:hyperlink w:anchor="_Upstream_emissions" w:history="1">
        <w:r w:rsidR="00B40F4A" w:rsidRPr="0011769E">
          <w:rPr>
            <w:rStyle w:val="Hyperlink"/>
            <w:color w:val="auto"/>
            <w:u w:val="none"/>
          </w:rPr>
          <w:t>Section 3.1.1 of this paper</w:t>
        </w:r>
      </w:hyperlink>
      <w:r w:rsidR="00E8053D">
        <w:t>)</w:t>
      </w:r>
      <w:r w:rsidR="00B40F4A">
        <w:t xml:space="preserve">. </w:t>
      </w:r>
      <w:r w:rsidR="00FA53DF">
        <w:t xml:space="preserve">The GO scheme is proposed to rely on a list of identified default factors from existing sources listed in the table below. However, in addition guidelines will be developed for </w:t>
      </w:r>
      <w:r w:rsidR="00D332E3">
        <w:t>scheme participants wishing to calculate and utilise supplier</w:t>
      </w:r>
      <w:r w:rsidR="004C0C48">
        <w:t xml:space="preserve"> </w:t>
      </w:r>
      <w:r w:rsidR="00D332E3">
        <w:t>specific upstream emissions factors.</w:t>
      </w:r>
    </w:p>
    <w:p w14:paraId="141FFE71" w14:textId="787D232C" w:rsidR="00E858D4" w:rsidRDefault="00E858D4" w:rsidP="00621A7C">
      <w:pPr>
        <w:pStyle w:val="Table"/>
        <w:keepNext/>
        <w:spacing w:before="200"/>
      </w:pPr>
      <w:bookmarkStart w:id="182" w:name="_Toc130914121"/>
      <w:bookmarkStart w:id="183" w:name="_Toc130914692"/>
      <w:bookmarkStart w:id="184" w:name="_Ref130483432"/>
      <w:r>
        <w:t xml:space="preserve">Table </w:t>
      </w:r>
      <w:bookmarkEnd w:id="184"/>
      <w:r w:rsidR="008941FC">
        <w:t>4.3</w:t>
      </w:r>
      <w:r>
        <w:t xml:space="preserve"> Upstream</w:t>
      </w:r>
      <w:r w:rsidR="00D332E3">
        <w:t xml:space="preserve"> </w:t>
      </w:r>
      <w:r>
        <w:t>emissions factors</w:t>
      </w:r>
      <w:r w:rsidR="0073414A">
        <w:t xml:space="preserve"> source</w:t>
      </w:r>
      <w:r w:rsidR="00C76CBC">
        <w:t>s</w:t>
      </w:r>
      <w:bookmarkEnd w:id="182"/>
      <w:bookmarkEnd w:id="183"/>
    </w:p>
    <w:tbl>
      <w:tblPr>
        <w:tblStyle w:val="TableGrid"/>
        <w:tblW w:w="5000" w:type="pct"/>
        <w:tblLook w:val="04A0" w:firstRow="1" w:lastRow="0" w:firstColumn="1" w:lastColumn="0" w:noHBand="0" w:noVBand="1"/>
      </w:tblPr>
      <w:tblGrid>
        <w:gridCol w:w="3397"/>
        <w:gridCol w:w="5619"/>
      </w:tblGrid>
      <w:tr w:rsidR="00DC621C" w:rsidRPr="0058072A" w14:paraId="23B3EA09" w14:textId="77777777" w:rsidTr="000752EC">
        <w:trPr>
          <w:trHeight w:val="340"/>
        </w:trPr>
        <w:tc>
          <w:tcPr>
            <w:tcW w:w="1884" w:type="pct"/>
            <w:shd w:val="clear" w:color="auto" w:fill="AEAAAA" w:themeFill="background2" w:themeFillShade="BF"/>
            <w:vAlign w:val="center"/>
          </w:tcPr>
          <w:p w14:paraId="2A70F8B6" w14:textId="77777777" w:rsidR="00DC621C" w:rsidRPr="0058072A" w:rsidRDefault="00DC621C" w:rsidP="009A51EF">
            <w:pPr>
              <w:rPr>
                <w:b/>
                <w:bCs/>
              </w:rPr>
            </w:pPr>
            <w:r w:rsidRPr="0058072A">
              <w:rPr>
                <w:b/>
                <w:bCs/>
              </w:rPr>
              <w:t>Activity</w:t>
            </w:r>
          </w:p>
        </w:tc>
        <w:tc>
          <w:tcPr>
            <w:tcW w:w="3116" w:type="pct"/>
            <w:shd w:val="clear" w:color="auto" w:fill="AEAAAA" w:themeFill="background2" w:themeFillShade="BF"/>
            <w:vAlign w:val="center"/>
          </w:tcPr>
          <w:p w14:paraId="4B0238C8" w14:textId="77777777" w:rsidR="00DC621C" w:rsidRPr="0058072A" w:rsidRDefault="00DC621C" w:rsidP="009A51EF">
            <w:pPr>
              <w:rPr>
                <w:b/>
                <w:bCs/>
              </w:rPr>
            </w:pPr>
            <w:r w:rsidRPr="0058072A">
              <w:rPr>
                <w:b/>
                <w:bCs/>
              </w:rPr>
              <w:t>Source</w:t>
            </w:r>
          </w:p>
        </w:tc>
      </w:tr>
      <w:tr w:rsidR="00DC621C" w14:paraId="1317F72D" w14:textId="77777777" w:rsidTr="000752EC">
        <w:trPr>
          <w:trHeight w:val="850"/>
        </w:trPr>
        <w:tc>
          <w:tcPr>
            <w:tcW w:w="1884" w:type="pct"/>
          </w:tcPr>
          <w:p w14:paraId="496C8ECB" w14:textId="77777777" w:rsidR="00DC621C" w:rsidRDefault="00DC621C" w:rsidP="00561F79">
            <w:r>
              <w:t xml:space="preserve">Solid fuel combustion </w:t>
            </w:r>
          </w:p>
        </w:tc>
        <w:tc>
          <w:tcPr>
            <w:tcW w:w="3116" w:type="pct"/>
          </w:tcPr>
          <w:p w14:paraId="64AED0F2" w14:textId="24A5A949" w:rsidR="00DC621C" w:rsidRDefault="00DC621C" w:rsidP="00561F79">
            <w:r>
              <w:t xml:space="preserve">Table 3 of the latest </w:t>
            </w:r>
            <w:r w:rsidR="00387795">
              <w:t>NGA</w:t>
            </w:r>
            <w:r>
              <w:t xml:space="preserve"> factors document available on the Department of Climate Change, Energy, the Environment and Water’s</w:t>
            </w:r>
            <w:r w:rsidDel="00877B01">
              <w:t xml:space="preserve"> </w:t>
            </w:r>
            <w:hyperlink r:id="rId21" w:history="1">
              <w:r w:rsidR="00877B01">
                <w:rPr>
                  <w:rStyle w:val="Hyperlink"/>
                </w:rPr>
                <w:t>website</w:t>
              </w:r>
            </w:hyperlink>
            <w:r w:rsidR="00877B01">
              <w:t>.</w:t>
            </w:r>
          </w:p>
        </w:tc>
      </w:tr>
      <w:tr w:rsidR="00DC621C" w14:paraId="6ABBC3F5" w14:textId="77777777" w:rsidTr="00B7601C">
        <w:trPr>
          <w:trHeight w:val="397"/>
        </w:trPr>
        <w:tc>
          <w:tcPr>
            <w:tcW w:w="1884" w:type="pct"/>
            <w:vAlign w:val="center"/>
          </w:tcPr>
          <w:p w14:paraId="197238BD" w14:textId="77777777" w:rsidR="00DC621C" w:rsidRDefault="00DC621C" w:rsidP="00B7601C">
            <w:r>
              <w:t>Gaseous fuel combustion</w:t>
            </w:r>
          </w:p>
        </w:tc>
        <w:tc>
          <w:tcPr>
            <w:tcW w:w="3116" w:type="pct"/>
            <w:vAlign w:val="center"/>
          </w:tcPr>
          <w:p w14:paraId="4DF777C3" w14:textId="4771D9E4" w:rsidR="00DC621C" w:rsidRDefault="00DC621C" w:rsidP="00B7601C">
            <w:r>
              <w:t xml:space="preserve">Table </w:t>
            </w:r>
            <w:r w:rsidR="00450089">
              <w:t xml:space="preserve">5 </w:t>
            </w:r>
            <w:r>
              <w:t xml:space="preserve">and Table </w:t>
            </w:r>
            <w:r w:rsidR="00450089">
              <w:t xml:space="preserve">6 </w:t>
            </w:r>
            <w:r>
              <w:t xml:space="preserve">of the latest </w:t>
            </w:r>
            <w:r w:rsidR="00387795">
              <w:t>NGA</w:t>
            </w:r>
            <w:r>
              <w:t xml:space="preserve"> factors document.</w:t>
            </w:r>
          </w:p>
        </w:tc>
      </w:tr>
      <w:tr w:rsidR="00DC621C" w14:paraId="7F5F5E7C" w14:textId="77777777" w:rsidTr="00B7601C">
        <w:trPr>
          <w:trHeight w:hRule="exact" w:val="397"/>
        </w:trPr>
        <w:tc>
          <w:tcPr>
            <w:tcW w:w="1884" w:type="pct"/>
            <w:vAlign w:val="center"/>
          </w:tcPr>
          <w:p w14:paraId="40598FA1" w14:textId="77777777" w:rsidR="00DC621C" w:rsidRDefault="00DC621C" w:rsidP="00B7601C">
            <w:r>
              <w:t>Liquid fuel combustion</w:t>
            </w:r>
          </w:p>
        </w:tc>
        <w:tc>
          <w:tcPr>
            <w:tcW w:w="3116" w:type="pct"/>
            <w:vAlign w:val="center"/>
          </w:tcPr>
          <w:p w14:paraId="46E7F678" w14:textId="5993E545" w:rsidR="00DC621C" w:rsidRDefault="00DC621C" w:rsidP="00860D3B">
            <w:r>
              <w:t xml:space="preserve">Table </w:t>
            </w:r>
            <w:r w:rsidR="00450089">
              <w:t xml:space="preserve">7 </w:t>
            </w:r>
            <w:r>
              <w:t xml:space="preserve">of the latest </w:t>
            </w:r>
            <w:r w:rsidR="00387795">
              <w:t>NGA</w:t>
            </w:r>
            <w:r>
              <w:t xml:space="preserve"> factors document.</w:t>
            </w:r>
          </w:p>
        </w:tc>
      </w:tr>
      <w:tr w:rsidR="00DC621C" w14:paraId="4A61DC13" w14:textId="77777777" w:rsidTr="000752EC">
        <w:trPr>
          <w:trHeight w:val="624"/>
        </w:trPr>
        <w:tc>
          <w:tcPr>
            <w:tcW w:w="1884" w:type="pct"/>
          </w:tcPr>
          <w:p w14:paraId="08B8B6FB" w14:textId="77777777" w:rsidR="00DC621C" w:rsidRDefault="00DC621C" w:rsidP="00561F79">
            <w:r>
              <w:t>Blended fuels</w:t>
            </w:r>
          </w:p>
        </w:tc>
        <w:tc>
          <w:tcPr>
            <w:tcW w:w="3116" w:type="pct"/>
          </w:tcPr>
          <w:p w14:paraId="31507F72" w14:textId="3664BDB5" w:rsidR="00DC621C" w:rsidRDefault="00DC621C" w:rsidP="00561F79">
            <w:r>
              <w:t xml:space="preserve">Part 2.6 of the </w:t>
            </w:r>
            <w:r w:rsidR="00162A4C" w:rsidRPr="00162A4C">
              <w:rPr>
                <w:i/>
                <w:iCs/>
              </w:rPr>
              <w:t xml:space="preserve">NGER </w:t>
            </w:r>
            <w:r w:rsidRPr="00162A4C">
              <w:rPr>
                <w:i/>
                <w:iCs/>
              </w:rPr>
              <w:t>Determination</w:t>
            </w:r>
            <w:r>
              <w:t xml:space="preserve"> provides guidance for blended fuels. </w:t>
            </w:r>
          </w:p>
        </w:tc>
      </w:tr>
      <w:tr w:rsidR="00DC621C" w14:paraId="58750A12" w14:textId="77777777" w:rsidTr="000752EC">
        <w:trPr>
          <w:trHeight w:hRule="exact" w:val="397"/>
        </w:trPr>
        <w:tc>
          <w:tcPr>
            <w:tcW w:w="1884" w:type="pct"/>
            <w:vAlign w:val="center"/>
          </w:tcPr>
          <w:p w14:paraId="7DB57864" w14:textId="77777777" w:rsidR="00DC621C" w:rsidRDefault="00DC621C" w:rsidP="00860D3B">
            <w:r>
              <w:t>Chemicals</w:t>
            </w:r>
          </w:p>
        </w:tc>
        <w:tc>
          <w:tcPr>
            <w:tcW w:w="3116" w:type="pct"/>
            <w:vAlign w:val="center"/>
          </w:tcPr>
          <w:p w14:paraId="35D8998D" w14:textId="354676E5" w:rsidR="00DC621C" w:rsidRDefault="00DC621C" w:rsidP="00860D3B">
            <w:r w:rsidRPr="009B5497">
              <w:t>Source specific upstream emissions factors</w:t>
            </w:r>
            <w:r>
              <w:t>.</w:t>
            </w:r>
          </w:p>
        </w:tc>
      </w:tr>
      <w:tr w:rsidR="00DC621C" w14:paraId="3427EA88" w14:textId="77777777" w:rsidTr="000752EC">
        <w:trPr>
          <w:trHeight w:val="624"/>
        </w:trPr>
        <w:tc>
          <w:tcPr>
            <w:tcW w:w="1884" w:type="pct"/>
          </w:tcPr>
          <w:p w14:paraId="40668861" w14:textId="54006280" w:rsidR="00DC621C" w:rsidRDefault="00DC621C" w:rsidP="00561F79">
            <w:r>
              <w:t>Water treatment and wastewater treatment</w:t>
            </w:r>
          </w:p>
        </w:tc>
        <w:tc>
          <w:tcPr>
            <w:tcW w:w="3116" w:type="pct"/>
          </w:tcPr>
          <w:p w14:paraId="614AC6C8" w14:textId="77777777" w:rsidR="00826178" w:rsidRDefault="00E94281" w:rsidP="00561F79">
            <w:proofErr w:type="spellStart"/>
            <w:r>
              <w:t>AusLCI</w:t>
            </w:r>
            <w:proofErr w:type="spellEnd"/>
            <w:r>
              <w:t xml:space="preserve"> (V1.42) Carbon Emissions Factors</w:t>
            </w:r>
            <w:r>
              <w:rPr>
                <w:rStyle w:val="FootnoteReference"/>
              </w:rPr>
              <w:footnoteReference w:id="4"/>
            </w:r>
            <w:r w:rsidR="002F6C59">
              <w:t xml:space="preserve"> for</w:t>
            </w:r>
          </w:p>
          <w:p w14:paraId="388AD9B0" w14:textId="4B06DCA0" w:rsidR="00DC621C" w:rsidRDefault="00DC621C" w:rsidP="00A474B2">
            <w:pPr>
              <w:pStyle w:val="ListParagraph"/>
              <w:numPr>
                <w:ilvl w:val="0"/>
                <w:numId w:val="32"/>
              </w:numPr>
              <w:ind w:left="458"/>
            </w:pPr>
            <w:r>
              <w:t>Electricity use –scope 2 electricity.</w:t>
            </w:r>
          </w:p>
          <w:p w14:paraId="41CE16B8" w14:textId="009EA92E" w:rsidR="00DC621C" w:rsidRDefault="00DC621C" w:rsidP="00561F79">
            <w:pPr>
              <w:pStyle w:val="ListParagraph"/>
              <w:numPr>
                <w:ilvl w:val="0"/>
                <w:numId w:val="32"/>
              </w:numPr>
              <w:ind w:left="458"/>
            </w:pPr>
            <w:r>
              <w:t>Major chemicals (substantial)</w:t>
            </w:r>
          </w:p>
        </w:tc>
      </w:tr>
      <w:tr w:rsidR="00DC621C" w14:paraId="030C6E5A" w14:textId="77777777" w:rsidTr="005F48D4">
        <w:trPr>
          <w:trHeight w:val="397"/>
        </w:trPr>
        <w:tc>
          <w:tcPr>
            <w:tcW w:w="1884" w:type="pct"/>
            <w:vAlign w:val="center"/>
          </w:tcPr>
          <w:p w14:paraId="28937B65" w14:textId="77777777" w:rsidR="00DC621C" w:rsidRDefault="00DC621C" w:rsidP="005F48D4">
            <w:r>
              <w:t>Fuel combustion to generate steam</w:t>
            </w:r>
          </w:p>
        </w:tc>
        <w:tc>
          <w:tcPr>
            <w:tcW w:w="3116" w:type="pct"/>
            <w:vAlign w:val="center"/>
          </w:tcPr>
          <w:p w14:paraId="3CF199EC" w14:textId="77777777" w:rsidR="00DC621C" w:rsidRDefault="00DC621C" w:rsidP="005F48D4">
            <w:r>
              <w:t>Estimated on fuel consumption or default set by CER</w:t>
            </w:r>
          </w:p>
        </w:tc>
      </w:tr>
      <w:tr w:rsidR="00DC621C" w14:paraId="38D75471" w14:textId="77777777" w:rsidTr="000752EC">
        <w:trPr>
          <w:trHeight w:hRule="exact" w:val="397"/>
        </w:trPr>
        <w:tc>
          <w:tcPr>
            <w:tcW w:w="1884" w:type="pct"/>
            <w:vAlign w:val="center"/>
          </w:tcPr>
          <w:p w14:paraId="6BA04DE6" w14:textId="77777777" w:rsidR="00DC621C" w:rsidRDefault="00DC621C" w:rsidP="00860D3B">
            <w:r>
              <w:t>Air cooling</w:t>
            </w:r>
          </w:p>
        </w:tc>
        <w:tc>
          <w:tcPr>
            <w:tcW w:w="3116" w:type="pct"/>
            <w:vAlign w:val="center"/>
          </w:tcPr>
          <w:p w14:paraId="7FD95CAC" w14:textId="68C92C3E" w:rsidR="00DC621C" w:rsidRDefault="00DC621C" w:rsidP="00860D3B">
            <w:r>
              <w:t>Electricity use –scope 2 electricity.</w:t>
            </w:r>
          </w:p>
        </w:tc>
      </w:tr>
      <w:tr w:rsidR="00DC621C" w14:paraId="12A446FE" w14:textId="77777777" w:rsidTr="000752EC">
        <w:trPr>
          <w:trHeight w:hRule="exact" w:val="397"/>
        </w:trPr>
        <w:tc>
          <w:tcPr>
            <w:tcW w:w="1884" w:type="pct"/>
            <w:vAlign w:val="center"/>
          </w:tcPr>
          <w:p w14:paraId="37CF52CF" w14:textId="77777777" w:rsidR="00DC621C" w:rsidRDefault="00DC621C" w:rsidP="00860D3B">
            <w:r>
              <w:t>Water cooling</w:t>
            </w:r>
          </w:p>
        </w:tc>
        <w:tc>
          <w:tcPr>
            <w:tcW w:w="3116" w:type="pct"/>
            <w:vAlign w:val="center"/>
          </w:tcPr>
          <w:p w14:paraId="0D32ED41" w14:textId="02D1B542" w:rsidR="00DC621C" w:rsidRDefault="00DC621C" w:rsidP="00860D3B">
            <w:r>
              <w:t>Electricity use –scope 2 electricity.</w:t>
            </w:r>
          </w:p>
        </w:tc>
      </w:tr>
      <w:tr w:rsidR="00DC621C" w14:paraId="5EE0084C" w14:textId="77777777" w:rsidTr="000752EC">
        <w:trPr>
          <w:trHeight w:hRule="exact" w:val="397"/>
        </w:trPr>
        <w:tc>
          <w:tcPr>
            <w:tcW w:w="1884" w:type="pct"/>
            <w:vAlign w:val="center"/>
          </w:tcPr>
          <w:p w14:paraId="434439D7" w14:textId="77777777" w:rsidR="00DC621C" w:rsidRDefault="00DC621C" w:rsidP="00860D3B">
            <w:r>
              <w:t>Heat pumps</w:t>
            </w:r>
          </w:p>
        </w:tc>
        <w:tc>
          <w:tcPr>
            <w:tcW w:w="3116" w:type="pct"/>
            <w:vAlign w:val="center"/>
          </w:tcPr>
          <w:p w14:paraId="630F08D0" w14:textId="18B221C7" w:rsidR="00DC621C" w:rsidRDefault="00DC621C" w:rsidP="00860D3B">
            <w:r>
              <w:t>Electricity use –scope 2 electricity.</w:t>
            </w:r>
          </w:p>
        </w:tc>
      </w:tr>
    </w:tbl>
    <w:p w14:paraId="565DD717" w14:textId="730ACE97" w:rsidR="00CB46C9" w:rsidRDefault="00CB46C9" w:rsidP="00E26B0F">
      <w:pPr>
        <w:pStyle w:val="Heading4"/>
        <w:numPr>
          <w:ilvl w:val="3"/>
          <w:numId w:val="0"/>
        </w:numPr>
        <w:spacing w:before="240"/>
      </w:pPr>
      <w:r>
        <w:t>Source specific upstream emissions factors</w:t>
      </w:r>
    </w:p>
    <w:p w14:paraId="4171CCD8" w14:textId="5A2EF0D4" w:rsidR="00C43C17" w:rsidRDefault="004101FA" w:rsidP="00CB46C9">
      <w:r>
        <w:t>The GO scheme is proposed to iterate over time to recognise the use of source</w:t>
      </w:r>
      <w:r w:rsidR="00E611C1">
        <w:t xml:space="preserve"> </w:t>
      </w:r>
      <w:r>
        <w:t xml:space="preserve">specific upstream emissions factors. The </w:t>
      </w:r>
      <w:r w:rsidR="00CB4A66">
        <w:t>CER</w:t>
      </w:r>
      <w:r>
        <w:t xml:space="preserve"> will develop guidelines on how these source</w:t>
      </w:r>
      <w:r w:rsidR="00E611C1">
        <w:t xml:space="preserve"> </w:t>
      </w:r>
      <w:r>
        <w:t xml:space="preserve">specific upstream emissions factors are to be calculated. </w:t>
      </w:r>
      <w:r w:rsidR="009E3F6D">
        <w:t xml:space="preserve">There will also need to be a process for approving emissions factors for use formally in the GO scheme. There may be options to either integrate it as part of existing audits used for </w:t>
      </w:r>
      <w:r w:rsidR="00F77842">
        <w:t>NGER or</w:t>
      </w:r>
      <w:r w:rsidR="009E3F6D">
        <w:t xml:space="preserve"> developing a new update and publication process through the CER’s website.</w:t>
      </w:r>
    </w:p>
    <w:p w14:paraId="3D1384A5" w14:textId="43B47F4B" w:rsidR="00911304" w:rsidRDefault="43F8C27F" w:rsidP="04D16793">
      <w:r>
        <w:t>There may also be existing information that could</w:t>
      </w:r>
      <w:r w:rsidR="00AE5825">
        <w:t xml:space="preserve"> be</w:t>
      </w:r>
      <w:r>
        <w:t xml:space="preserve"> incorporated, such as NGER reports, studies or schemes from other jur</w:t>
      </w:r>
      <w:r w:rsidR="47659E1D">
        <w:t xml:space="preserve">isdictions or industries that the CER </w:t>
      </w:r>
      <w:r w:rsidR="00B0A03A">
        <w:t>could consider.</w:t>
      </w:r>
      <w:r w:rsidR="000620A3">
        <w:t xml:space="preserve"> </w:t>
      </w:r>
      <w:r w:rsidR="00911304">
        <w:t xml:space="preserve">The scope of upstream factors will need to cover any upstream emissions associated with extraction, production, processing, transporting, storage and fugitive </w:t>
      </w:r>
      <w:r w:rsidR="008F7D82">
        <w:t xml:space="preserve">of the </w:t>
      </w:r>
      <w:r w:rsidR="00911304">
        <w:t xml:space="preserve">input. </w:t>
      </w:r>
    </w:p>
    <w:p w14:paraId="2795D9E4" w14:textId="1C94D073" w:rsidR="00135199" w:rsidRDefault="00903801" w:rsidP="00E07BA3">
      <w:pPr>
        <w:pStyle w:val="Heading3"/>
        <w:spacing w:before="200"/>
      </w:pPr>
      <w:r>
        <w:t>Direct</w:t>
      </w:r>
      <w:r w:rsidR="00135199">
        <w:t xml:space="preserve"> emissions</w:t>
      </w:r>
      <w:r w:rsidR="00346238">
        <w:t xml:space="preserve"> factors</w:t>
      </w:r>
    </w:p>
    <w:p w14:paraId="074D4673" w14:textId="23080B53" w:rsidR="00793115" w:rsidRDefault="0046443A" w:rsidP="00283531">
      <w:r>
        <w:t xml:space="preserve">Direct emissions are required to be calculated and reported </w:t>
      </w:r>
      <w:r w:rsidR="00CA149E">
        <w:t xml:space="preserve">based on the approaches proposed in </w:t>
      </w:r>
      <w:r w:rsidR="00740B95">
        <w:fldChar w:fldCharType="begin"/>
      </w:r>
      <w:r w:rsidR="00740B95">
        <w:instrText xml:space="preserve"> REF _Ref132810927 \r \h </w:instrText>
      </w:r>
      <w:r w:rsidR="00740B95">
        <w:fldChar w:fldCharType="separate"/>
      </w:r>
      <w:r w:rsidR="00785FEC">
        <w:t>Section 3.1.2</w:t>
      </w:r>
      <w:r w:rsidR="00740B95">
        <w:fldChar w:fldCharType="end"/>
      </w:r>
      <w:r w:rsidR="00CA149E">
        <w:t xml:space="preserve">. </w:t>
      </w:r>
      <w:r w:rsidR="00786534">
        <w:t>There are two types of direct emissions under the GO scheme</w:t>
      </w:r>
      <w:r w:rsidR="008D4324">
        <w:t xml:space="preserve">; </w:t>
      </w:r>
      <w:r w:rsidR="00786534">
        <w:t xml:space="preserve">combustion emissions and accrued emissions. </w:t>
      </w:r>
      <w:r w:rsidR="00CA149E">
        <w:t xml:space="preserve">The approaches available are either </w:t>
      </w:r>
      <w:r w:rsidR="001F5A8D">
        <w:t>using</w:t>
      </w:r>
      <w:r w:rsidR="00CA149E">
        <w:t xml:space="preserve"> an emissions factor or through measurement</w:t>
      </w:r>
      <w:r w:rsidR="001F5A8D">
        <w:t xml:space="preserve"> of emissions</w:t>
      </w:r>
      <w:r w:rsidR="00CA149E">
        <w:t>.</w:t>
      </w:r>
    </w:p>
    <w:p w14:paraId="14B86844" w14:textId="681FE4F1" w:rsidR="00CB46C9" w:rsidRDefault="00CA149E" w:rsidP="00283531">
      <w:r>
        <w:t xml:space="preserve">The measurement of emissions is covered in the measurement guidance section above. The table below provides the </w:t>
      </w:r>
      <w:r w:rsidR="000A4707">
        <w:t xml:space="preserve">proposed sources for the </w:t>
      </w:r>
      <w:r>
        <w:t xml:space="preserve">emissions factors </w:t>
      </w:r>
      <w:r w:rsidR="000A4707">
        <w:t xml:space="preserve">and are separated by the </w:t>
      </w:r>
      <w:r>
        <w:t>activity type</w:t>
      </w:r>
      <w:r w:rsidR="000A4707">
        <w:t>s used in the NGER Determination.</w:t>
      </w:r>
    </w:p>
    <w:p w14:paraId="0184B300" w14:textId="3DE089EE" w:rsidR="00CB46C9" w:rsidRDefault="00CB46C9" w:rsidP="00621A7C">
      <w:pPr>
        <w:pStyle w:val="Table"/>
        <w:keepNext/>
        <w:spacing w:before="200"/>
      </w:pPr>
      <w:bookmarkStart w:id="185" w:name="_Ref130483281"/>
      <w:bookmarkStart w:id="186" w:name="_Toc130914120"/>
      <w:bookmarkStart w:id="187" w:name="_Toc130914691"/>
      <w:r>
        <w:t xml:space="preserve">Table </w:t>
      </w:r>
      <w:bookmarkEnd w:id="185"/>
      <w:r w:rsidR="008941FC">
        <w:t>4.4</w:t>
      </w:r>
      <w:r>
        <w:t xml:space="preserve"> Direct emissions factors table for fuel sources</w:t>
      </w:r>
      <w:bookmarkEnd w:id="186"/>
      <w:bookmarkEnd w:id="187"/>
      <w:r w:rsidR="293A6E4F">
        <w:t>.</w:t>
      </w:r>
    </w:p>
    <w:tbl>
      <w:tblPr>
        <w:tblStyle w:val="TableGrid"/>
        <w:tblW w:w="5000" w:type="pct"/>
        <w:tblLook w:val="04A0" w:firstRow="1" w:lastRow="0" w:firstColumn="1" w:lastColumn="0" w:noHBand="0" w:noVBand="1"/>
      </w:tblPr>
      <w:tblGrid>
        <w:gridCol w:w="2831"/>
        <w:gridCol w:w="6185"/>
      </w:tblGrid>
      <w:tr w:rsidR="00CB46C9" w14:paraId="088FBD0C" w14:textId="77777777" w:rsidTr="005F4697">
        <w:trPr>
          <w:trHeight w:val="397"/>
        </w:trPr>
        <w:tc>
          <w:tcPr>
            <w:tcW w:w="1570" w:type="pct"/>
            <w:shd w:val="clear" w:color="auto" w:fill="AEAAAA" w:themeFill="background2" w:themeFillShade="BF"/>
            <w:vAlign w:val="center"/>
          </w:tcPr>
          <w:p w14:paraId="5AD3C69D" w14:textId="77777777" w:rsidR="00CB46C9" w:rsidRPr="0058072A" w:rsidRDefault="00CB46C9" w:rsidP="000B314F">
            <w:pPr>
              <w:rPr>
                <w:b/>
                <w:bCs/>
              </w:rPr>
            </w:pPr>
            <w:r w:rsidRPr="0058072A">
              <w:rPr>
                <w:b/>
                <w:bCs/>
              </w:rPr>
              <w:t>Activity</w:t>
            </w:r>
          </w:p>
        </w:tc>
        <w:tc>
          <w:tcPr>
            <w:tcW w:w="3430" w:type="pct"/>
            <w:shd w:val="clear" w:color="auto" w:fill="AEAAAA" w:themeFill="background2" w:themeFillShade="BF"/>
            <w:vAlign w:val="center"/>
          </w:tcPr>
          <w:p w14:paraId="0977570C" w14:textId="77777777" w:rsidR="00CB46C9" w:rsidRPr="0058072A" w:rsidRDefault="00CB46C9" w:rsidP="000B314F">
            <w:pPr>
              <w:rPr>
                <w:b/>
                <w:bCs/>
              </w:rPr>
            </w:pPr>
            <w:r w:rsidRPr="0058072A">
              <w:rPr>
                <w:b/>
                <w:bCs/>
              </w:rPr>
              <w:t>Source</w:t>
            </w:r>
          </w:p>
        </w:tc>
      </w:tr>
      <w:tr w:rsidR="00CB46C9" w:rsidRPr="0058072A" w14:paraId="728F75D0" w14:textId="77777777" w:rsidTr="005F4697">
        <w:trPr>
          <w:trHeight w:val="397"/>
        </w:trPr>
        <w:tc>
          <w:tcPr>
            <w:tcW w:w="5000" w:type="pct"/>
            <w:gridSpan w:val="2"/>
            <w:shd w:val="clear" w:color="auto" w:fill="D0CECE" w:themeFill="background2" w:themeFillShade="E6"/>
            <w:vAlign w:val="center"/>
          </w:tcPr>
          <w:p w14:paraId="0D54355A" w14:textId="77777777" w:rsidR="00CB46C9" w:rsidRPr="0058072A" w:rsidRDefault="00CB46C9" w:rsidP="000B314F">
            <w:pPr>
              <w:rPr>
                <w:b/>
                <w:bCs/>
              </w:rPr>
            </w:pPr>
            <w:r>
              <w:rPr>
                <w:b/>
                <w:bCs/>
              </w:rPr>
              <w:t>Section A – Fuel emissions source</w:t>
            </w:r>
          </w:p>
        </w:tc>
      </w:tr>
      <w:tr w:rsidR="00CB46C9" w14:paraId="546C907F" w14:textId="77777777" w:rsidTr="00080050">
        <w:trPr>
          <w:trHeight w:val="397"/>
        </w:trPr>
        <w:tc>
          <w:tcPr>
            <w:tcW w:w="1570" w:type="pct"/>
            <w:vAlign w:val="center"/>
          </w:tcPr>
          <w:p w14:paraId="04A7AEA4" w14:textId="77777777" w:rsidR="00CB46C9" w:rsidRDefault="00CB46C9" w:rsidP="00080050">
            <w:r>
              <w:t xml:space="preserve">Solid fuel combustion </w:t>
            </w:r>
          </w:p>
        </w:tc>
        <w:tc>
          <w:tcPr>
            <w:tcW w:w="3430" w:type="pct"/>
            <w:vAlign w:val="center"/>
          </w:tcPr>
          <w:p w14:paraId="2FE389A5" w14:textId="622870C2" w:rsidR="00CB46C9" w:rsidRDefault="00CB46C9" w:rsidP="00080050">
            <w:r>
              <w:t xml:space="preserve">Schedule 1 Part 1 of the </w:t>
            </w:r>
            <w:r w:rsidR="00312FDC" w:rsidRPr="00312FDC">
              <w:rPr>
                <w:i/>
                <w:iCs/>
              </w:rPr>
              <w:t xml:space="preserve">NGER </w:t>
            </w:r>
            <w:r w:rsidRPr="008E7F82">
              <w:rPr>
                <w:i/>
                <w:iCs/>
              </w:rPr>
              <w:t>Determination</w:t>
            </w:r>
            <w:r>
              <w:t>.</w:t>
            </w:r>
          </w:p>
        </w:tc>
      </w:tr>
      <w:tr w:rsidR="00CB46C9" w14:paraId="1489B891" w14:textId="77777777" w:rsidTr="00080050">
        <w:trPr>
          <w:trHeight w:val="397"/>
        </w:trPr>
        <w:tc>
          <w:tcPr>
            <w:tcW w:w="1570" w:type="pct"/>
            <w:vAlign w:val="center"/>
          </w:tcPr>
          <w:p w14:paraId="63F03EF0" w14:textId="77777777" w:rsidR="00CB46C9" w:rsidRDefault="00CB46C9" w:rsidP="00080050">
            <w:r>
              <w:t>Gaseous fuel combustion</w:t>
            </w:r>
          </w:p>
        </w:tc>
        <w:tc>
          <w:tcPr>
            <w:tcW w:w="3430" w:type="pct"/>
            <w:vAlign w:val="center"/>
          </w:tcPr>
          <w:p w14:paraId="12AB5F1F" w14:textId="51371280" w:rsidR="00CB46C9" w:rsidRDefault="00CB46C9" w:rsidP="00080050">
            <w:r>
              <w:t xml:space="preserve">Schedule 1 Part 2 of the </w:t>
            </w:r>
            <w:r w:rsidR="00312FDC" w:rsidRPr="00312FDC">
              <w:rPr>
                <w:i/>
                <w:iCs/>
              </w:rPr>
              <w:t xml:space="preserve">NGER </w:t>
            </w:r>
            <w:r w:rsidRPr="008E7F82">
              <w:rPr>
                <w:i/>
                <w:iCs/>
              </w:rPr>
              <w:t>Determination</w:t>
            </w:r>
            <w:r>
              <w:t>.</w:t>
            </w:r>
          </w:p>
        </w:tc>
      </w:tr>
      <w:tr w:rsidR="00CB46C9" w14:paraId="6CA85F9C" w14:textId="77777777" w:rsidTr="00860D3B">
        <w:trPr>
          <w:trHeight w:val="624"/>
        </w:trPr>
        <w:tc>
          <w:tcPr>
            <w:tcW w:w="1570" w:type="pct"/>
          </w:tcPr>
          <w:p w14:paraId="027A3CA4" w14:textId="77777777" w:rsidR="00CB46C9" w:rsidRDefault="00CB46C9" w:rsidP="00561F79">
            <w:r>
              <w:t>Liquid fuel combustion for stationary purposes</w:t>
            </w:r>
          </w:p>
        </w:tc>
        <w:tc>
          <w:tcPr>
            <w:tcW w:w="3430" w:type="pct"/>
          </w:tcPr>
          <w:p w14:paraId="26750844" w14:textId="2C559153" w:rsidR="00CB46C9" w:rsidRDefault="00CB46C9" w:rsidP="00561F79">
            <w:r>
              <w:t xml:space="preserve">Schedule 1 Part 3 of the </w:t>
            </w:r>
            <w:r w:rsidR="00312FDC" w:rsidRPr="00312FDC">
              <w:rPr>
                <w:i/>
                <w:iCs/>
              </w:rPr>
              <w:t xml:space="preserve">NGER </w:t>
            </w:r>
            <w:r w:rsidRPr="008E7F82">
              <w:rPr>
                <w:i/>
                <w:iCs/>
              </w:rPr>
              <w:t>Determination</w:t>
            </w:r>
            <w:r>
              <w:t>.</w:t>
            </w:r>
          </w:p>
        </w:tc>
      </w:tr>
      <w:tr w:rsidR="00CB46C9" w14:paraId="407FDE8B" w14:textId="77777777" w:rsidTr="00860D3B">
        <w:trPr>
          <w:trHeight w:val="624"/>
        </w:trPr>
        <w:tc>
          <w:tcPr>
            <w:tcW w:w="1570" w:type="pct"/>
          </w:tcPr>
          <w:p w14:paraId="1268E5FA" w14:textId="77777777" w:rsidR="00CB46C9" w:rsidRDefault="00CB46C9" w:rsidP="00561F79">
            <w:r>
              <w:t>Liquid fuel combustion for transport purposes</w:t>
            </w:r>
          </w:p>
        </w:tc>
        <w:tc>
          <w:tcPr>
            <w:tcW w:w="3430" w:type="pct"/>
          </w:tcPr>
          <w:p w14:paraId="5D4B5680" w14:textId="3689153F" w:rsidR="00CB46C9" w:rsidRDefault="00CB46C9" w:rsidP="00561F79">
            <w:r>
              <w:t xml:space="preserve">Schedule 1 Part 4 of the </w:t>
            </w:r>
            <w:r w:rsidR="00312FDC" w:rsidRPr="00312FDC">
              <w:rPr>
                <w:i/>
                <w:iCs/>
              </w:rPr>
              <w:t xml:space="preserve">NGER </w:t>
            </w:r>
            <w:r w:rsidRPr="008E7F82">
              <w:rPr>
                <w:i/>
                <w:iCs/>
              </w:rPr>
              <w:t>Determination</w:t>
            </w:r>
            <w:r>
              <w:t>.</w:t>
            </w:r>
          </w:p>
        </w:tc>
      </w:tr>
      <w:tr w:rsidR="00CB46C9" w14:paraId="3BA8A8C8" w14:textId="77777777" w:rsidTr="00FE7EDD">
        <w:trPr>
          <w:trHeight w:val="397"/>
        </w:trPr>
        <w:tc>
          <w:tcPr>
            <w:tcW w:w="1570" w:type="pct"/>
            <w:vAlign w:val="center"/>
          </w:tcPr>
          <w:p w14:paraId="0489571D" w14:textId="77777777" w:rsidR="00CB46C9" w:rsidRDefault="00CB46C9" w:rsidP="00FE7EDD">
            <w:r>
              <w:t>Blended fuels</w:t>
            </w:r>
          </w:p>
        </w:tc>
        <w:tc>
          <w:tcPr>
            <w:tcW w:w="3430" w:type="pct"/>
            <w:vAlign w:val="center"/>
          </w:tcPr>
          <w:p w14:paraId="23DF9422" w14:textId="36656E03" w:rsidR="00CB46C9" w:rsidRDefault="00CB46C9" w:rsidP="00FE7EDD">
            <w:r>
              <w:t xml:space="preserve">Part 2.6 of the </w:t>
            </w:r>
            <w:r w:rsidR="00312FDC" w:rsidRPr="00312FDC">
              <w:rPr>
                <w:i/>
                <w:iCs/>
              </w:rPr>
              <w:t xml:space="preserve">NGER </w:t>
            </w:r>
            <w:r w:rsidRPr="005005B4">
              <w:rPr>
                <w:i/>
                <w:iCs/>
              </w:rPr>
              <w:t>Determination</w:t>
            </w:r>
            <w:r>
              <w:t>.</w:t>
            </w:r>
          </w:p>
        </w:tc>
      </w:tr>
      <w:tr w:rsidR="00CB46C9" w:rsidRPr="0058072A" w14:paraId="09A9DC2A" w14:textId="77777777" w:rsidTr="00FE7EDD">
        <w:trPr>
          <w:trHeight w:val="397"/>
        </w:trPr>
        <w:tc>
          <w:tcPr>
            <w:tcW w:w="5000" w:type="pct"/>
            <w:gridSpan w:val="2"/>
            <w:shd w:val="clear" w:color="auto" w:fill="D0CECE" w:themeFill="background2" w:themeFillShade="E6"/>
            <w:vAlign w:val="center"/>
          </w:tcPr>
          <w:p w14:paraId="505FE390" w14:textId="24235605" w:rsidR="00CB46C9" w:rsidRPr="0058072A" w:rsidRDefault="00CB46C9" w:rsidP="00FE7EDD">
            <w:pPr>
              <w:rPr>
                <w:b/>
                <w:bCs/>
              </w:rPr>
            </w:pPr>
            <w:r>
              <w:rPr>
                <w:b/>
                <w:bCs/>
              </w:rPr>
              <w:t xml:space="preserve">Section B – </w:t>
            </w:r>
            <w:r w:rsidR="60CF22C5" w:rsidRPr="53336227">
              <w:rPr>
                <w:b/>
                <w:bCs/>
              </w:rPr>
              <w:t>Fugitives</w:t>
            </w:r>
            <w:r>
              <w:rPr>
                <w:b/>
                <w:bCs/>
              </w:rPr>
              <w:t xml:space="preserve"> emissions source</w:t>
            </w:r>
          </w:p>
        </w:tc>
      </w:tr>
      <w:tr w:rsidR="00CB46C9" w14:paraId="17230686" w14:textId="2E0AEDD3" w:rsidTr="004F697A">
        <w:trPr>
          <w:trHeight w:val="397"/>
        </w:trPr>
        <w:tc>
          <w:tcPr>
            <w:tcW w:w="1570" w:type="pct"/>
          </w:tcPr>
          <w:p w14:paraId="546FEA5C" w14:textId="089FCF1E" w:rsidR="00CB46C9" w:rsidRDefault="26AA3C91" w:rsidP="004F697A">
            <w:pPr>
              <w:spacing w:line="259" w:lineRule="auto"/>
            </w:pPr>
            <w:r>
              <w:t>Fugitives</w:t>
            </w:r>
          </w:p>
        </w:tc>
        <w:tc>
          <w:tcPr>
            <w:tcW w:w="3430" w:type="pct"/>
            <w:vAlign w:val="center"/>
          </w:tcPr>
          <w:p w14:paraId="24362043" w14:textId="64D23F44" w:rsidR="00CB46C9" w:rsidRDefault="26AA3C91" w:rsidP="00FE7EDD">
            <w:pPr>
              <w:spacing w:line="259" w:lineRule="auto"/>
            </w:pPr>
            <w:r>
              <w:t>Leaks and vents from equipment.</w:t>
            </w:r>
            <w:r w:rsidR="004C7639">
              <w:t xml:space="preserve"> Chapter 3 of the </w:t>
            </w:r>
            <w:r w:rsidR="004C7639" w:rsidRPr="00312FDC">
              <w:rPr>
                <w:i/>
                <w:iCs/>
              </w:rPr>
              <w:t xml:space="preserve">NGER </w:t>
            </w:r>
            <w:r w:rsidR="004C7639" w:rsidRPr="005005B4">
              <w:rPr>
                <w:i/>
                <w:iCs/>
              </w:rPr>
              <w:t>Determination</w:t>
            </w:r>
            <w:r w:rsidR="004B6D17">
              <w:rPr>
                <w:i/>
                <w:iCs/>
              </w:rPr>
              <w:t>.</w:t>
            </w:r>
          </w:p>
        </w:tc>
      </w:tr>
      <w:tr w:rsidR="53336227" w14:paraId="233DB836" w14:textId="77777777" w:rsidTr="00FE7EDD">
        <w:trPr>
          <w:trHeight w:val="397"/>
        </w:trPr>
        <w:tc>
          <w:tcPr>
            <w:tcW w:w="5000" w:type="pct"/>
            <w:gridSpan w:val="2"/>
            <w:shd w:val="clear" w:color="auto" w:fill="D0CECE" w:themeFill="background2" w:themeFillShade="E6"/>
            <w:vAlign w:val="center"/>
          </w:tcPr>
          <w:p w14:paraId="3542677C" w14:textId="5AA1F114" w:rsidR="53336227" w:rsidRDefault="53336227" w:rsidP="00FE7EDD">
            <w:pPr>
              <w:rPr>
                <w:b/>
                <w:bCs/>
              </w:rPr>
            </w:pPr>
            <w:r w:rsidRPr="53336227">
              <w:rPr>
                <w:b/>
                <w:bCs/>
              </w:rPr>
              <w:t xml:space="preserve">Section </w:t>
            </w:r>
            <w:r w:rsidR="0DDA3220" w:rsidRPr="53336227">
              <w:rPr>
                <w:b/>
                <w:bCs/>
              </w:rPr>
              <w:t xml:space="preserve">C </w:t>
            </w:r>
            <w:r w:rsidRPr="53336227">
              <w:rPr>
                <w:b/>
                <w:bCs/>
              </w:rPr>
              <w:t>– Chemical emissions source</w:t>
            </w:r>
          </w:p>
        </w:tc>
      </w:tr>
      <w:tr w:rsidR="53336227" w14:paraId="48492A17" w14:textId="77777777" w:rsidTr="00FE7EDD">
        <w:trPr>
          <w:trHeight w:val="397"/>
        </w:trPr>
        <w:tc>
          <w:tcPr>
            <w:tcW w:w="1570" w:type="pct"/>
            <w:vAlign w:val="center"/>
          </w:tcPr>
          <w:p w14:paraId="34A1657A" w14:textId="77777777" w:rsidR="53336227" w:rsidRDefault="53336227" w:rsidP="00FE7EDD">
            <w:pPr>
              <w:spacing w:line="259" w:lineRule="auto"/>
            </w:pPr>
            <w:r>
              <w:t>Chemicals</w:t>
            </w:r>
          </w:p>
        </w:tc>
        <w:tc>
          <w:tcPr>
            <w:tcW w:w="3430" w:type="pct"/>
            <w:vAlign w:val="center"/>
          </w:tcPr>
          <w:p w14:paraId="57274066" w14:textId="64DF2FC8" w:rsidR="53336227" w:rsidRDefault="53336227" w:rsidP="00FE7EDD">
            <w:r>
              <w:t>The use of chemicals for production processes.</w:t>
            </w:r>
          </w:p>
        </w:tc>
      </w:tr>
      <w:tr w:rsidR="00CB46C9" w:rsidRPr="0058072A" w14:paraId="53401236" w14:textId="77777777" w:rsidTr="00FE7EDD">
        <w:trPr>
          <w:trHeight w:val="397"/>
        </w:trPr>
        <w:tc>
          <w:tcPr>
            <w:tcW w:w="5000" w:type="pct"/>
            <w:gridSpan w:val="2"/>
            <w:shd w:val="clear" w:color="auto" w:fill="D0CECE" w:themeFill="background2" w:themeFillShade="E6"/>
            <w:vAlign w:val="center"/>
          </w:tcPr>
          <w:p w14:paraId="35BDF3D5" w14:textId="3612322A" w:rsidR="00CB46C9" w:rsidRPr="0058072A" w:rsidRDefault="00CB46C9" w:rsidP="00FE7EDD">
            <w:pPr>
              <w:rPr>
                <w:b/>
                <w:bCs/>
              </w:rPr>
            </w:pPr>
            <w:r>
              <w:rPr>
                <w:b/>
                <w:bCs/>
              </w:rPr>
              <w:t xml:space="preserve">Section </w:t>
            </w:r>
            <w:r w:rsidR="50DCF7B6" w:rsidRPr="53336227">
              <w:rPr>
                <w:b/>
                <w:bCs/>
              </w:rPr>
              <w:t>D</w:t>
            </w:r>
            <w:r>
              <w:rPr>
                <w:b/>
                <w:bCs/>
              </w:rPr>
              <w:t xml:space="preserve"> – Water emissions source</w:t>
            </w:r>
          </w:p>
        </w:tc>
      </w:tr>
      <w:tr w:rsidR="00CB46C9" w14:paraId="1EA54D5E" w14:textId="77777777" w:rsidTr="009E6595">
        <w:trPr>
          <w:trHeight w:val="1120"/>
        </w:trPr>
        <w:tc>
          <w:tcPr>
            <w:tcW w:w="1570" w:type="pct"/>
          </w:tcPr>
          <w:p w14:paraId="5C0787AB" w14:textId="77777777" w:rsidR="00CB46C9" w:rsidRDefault="00CB46C9" w:rsidP="00561F79">
            <w:r>
              <w:t>Onsite wastewater treatment emissions</w:t>
            </w:r>
          </w:p>
        </w:tc>
        <w:tc>
          <w:tcPr>
            <w:tcW w:w="3430" w:type="pct"/>
          </w:tcPr>
          <w:p w14:paraId="27EC9419" w14:textId="3C0AE3E3" w:rsidR="00CB46C9" w:rsidRDefault="00CB46C9" w:rsidP="00561F79">
            <w:r>
              <w:t xml:space="preserve">Highly dependent on the source of the wastewater, </w:t>
            </w:r>
            <w:r w:rsidR="006C787B" w:rsidRPr="006C787B">
              <w:t>Biological Oxygen Demand (BOD)</w:t>
            </w:r>
            <w:r w:rsidR="00475022">
              <w:t xml:space="preserve">, </w:t>
            </w:r>
            <w:r w:rsidR="006C787B" w:rsidRPr="006C787B">
              <w:t>Chemical Oxygen Demand (</w:t>
            </w:r>
            <w:r>
              <w:t>COD</w:t>
            </w:r>
            <w:r w:rsidR="006C787B" w:rsidRPr="006C787B">
              <w:t>)</w:t>
            </w:r>
            <w:r>
              <w:t xml:space="preserve"> and treatment method.</w:t>
            </w:r>
            <w:r>
              <w:br/>
              <w:t>Parts 5.3 (domestic/commercial) and 5.4 (industrial)</w:t>
            </w:r>
            <w:r w:rsidR="002A0A17">
              <w:t xml:space="preserve"> of the </w:t>
            </w:r>
            <w:r w:rsidR="002A0A17" w:rsidRPr="00E52918">
              <w:rPr>
                <w:i/>
                <w:iCs/>
              </w:rPr>
              <w:t>NGER Determination</w:t>
            </w:r>
            <w:r w:rsidR="002A0A17">
              <w:rPr>
                <w:i/>
                <w:iCs/>
              </w:rPr>
              <w:t>.</w:t>
            </w:r>
          </w:p>
        </w:tc>
      </w:tr>
      <w:tr w:rsidR="00CB46C9" w:rsidRPr="0058072A" w14:paraId="7ADC7FD8" w14:textId="77777777" w:rsidTr="009E6595">
        <w:trPr>
          <w:trHeight w:val="397"/>
        </w:trPr>
        <w:tc>
          <w:tcPr>
            <w:tcW w:w="5000" w:type="pct"/>
            <w:gridSpan w:val="2"/>
            <w:shd w:val="clear" w:color="auto" w:fill="D0CECE" w:themeFill="background2" w:themeFillShade="E6"/>
            <w:vAlign w:val="center"/>
          </w:tcPr>
          <w:p w14:paraId="4695C612" w14:textId="75848126" w:rsidR="00CB46C9" w:rsidRPr="0058072A" w:rsidRDefault="00CB46C9" w:rsidP="009E6595">
            <w:pPr>
              <w:rPr>
                <w:b/>
                <w:bCs/>
              </w:rPr>
            </w:pPr>
            <w:r>
              <w:rPr>
                <w:b/>
                <w:bCs/>
              </w:rPr>
              <w:t xml:space="preserve">Section </w:t>
            </w:r>
            <w:r w:rsidR="0E331F01" w:rsidRPr="53336227">
              <w:rPr>
                <w:b/>
                <w:bCs/>
              </w:rPr>
              <w:t>E</w:t>
            </w:r>
            <w:r>
              <w:rPr>
                <w:b/>
                <w:bCs/>
              </w:rPr>
              <w:t xml:space="preserve"> – Steam emissions source</w:t>
            </w:r>
          </w:p>
        </w:tc>
      </w:tr>
      <w:tr w:rsidR="00CB46C9" w14:paraId="0A57F297" w14:textId="77777777" w:rsidTr="00860D3B">
        <w:trPr>
          <w:trHeight w:val="624"/>
        </w:trPr>
        <w:tc>
          <w:tcPr>
            <w:tcW w:w="1570" w:type="pct"/>
          </w:tcPr>
          <w:p w14:paraId="78218377" w14:textId="77777777" w:rsidR="00CB46C9" w:rsidRDefault="00CB46C9" w:rsidP="00561F79">
            <w:r>
              <w:t>Fuel or electricity consumption</w:t>
            </w:r>
          </w:p>
        </w:tc>
        <w:tc>
          <w:tcPr>
            <w:tcW w:w="3430" w:type="pct"/>
          </w:tcPr>
          <w:p w14:paraId="38BD7221" w14:textId="77777777" w:rsidR="00CB46C9" w:rsidRDefault="00CB46C9" w:rsidP="00561F79">
            <w:r>
              <w:t>Determined in other sections. Where steam is generated from non-combustion waste heat, this may be treated as 0.</w:t>
            </w:r>
          </w:p>
        </w:tc>
      </w:tr>
      <w:tr w:rsidR="00CB46C9" w:rsidRPr="0058072A" w14:paraId="5206BE91" w14:textId="77777777" w:rsidTr="009E6595">
        <w:trPr>
          <w:trHeight w:val="397"/>
        </w:trPr>
        <w:tc>
          <w:tcPr>
            <w:tcW w:w="5000" w:type="pct"/>
            <w:gridSpan w:val="2"/>
            <w:shd w:val="clear" w:color="auto" w:fill="D0CECE" w:themeFill="background2" w:themeFillShade="E6"/>
            <w:vAlign w:val="center"/>
          </w:tcPr>
          <w:p w14:paraId="6B024B11" w14:textId="7A9B49AF" w:rsidR="00CB46C9" w:rsidRPr="0058072A" w:rsidRDefault="00CB46C9" w:rsidP="009E6595">
            <w:pPr>
              <w:rPr>
                <w:b/>
                <w:bCs/>
              </w:rPr>
            </w:pPr>
            <w:r w:rsidRPr="40FD0F9A">
              <w:rPr>
                <w:b/>
                <w:bCs/>
              </w:rPr>
              <w:t xml:space="preserve">Section </w:t>
            </w:r>
            <w:r w:rsidR="74AFDB30" w:rsidRPr="53336227">
              <w:rPr>
                <w:b/>
                <w:bCs/>
              </w:rPr>
              <w:t>F</w:t>
            </w:r>
            <w:r w:rsidRPr="40FD0F9A">
              <w:rPr>
                <w:b/>
                <w:bCs/>
              </w:rPr>
              <w:t xml:space="preserve"> – Cooling emissions source</w:t>
            </w:r>
          </w:p>
        </w:tc>
      </w:tr>
      <w:tr w:rsidR="00CB46C9" w14:paraId="1AE483CB" w14:textId="77777777" w:rsidTr="009E6595">
        <w:trPr>
          <w:trHeight w:val="397"/>
        </w:trPr>
        <w:tc>
          <w:tcPr>
            <w:tcW w:w="1570" w:type="pct"/>
            <w:vAlign w:val="center"/>
          </w:tcPr>
          <w:p w14:paraId="67C99006" w14:textId="77777777" w:rsidR="00CB46C9" w:rsidRDefault="00CB46C9" w:rsidP="009E6595">
            <w:r>
              <w:t>Air cooling</w:t>
            </w:r>
          </w:p>
        </w:tc>
        <w:tc>
          <w:tcPr>
            <w:tcW w:w="3430" w:type="pct"/>
            <w:vAlign w:val="center"/>
          </w:tcPr>
          <w:p w14:paraId="3AA71DBB" w14:textId="77777777" w:rsidR="00CB46C9" w:rsidRDefault="00CB46C9" w:rsidP="009E6595">
            <w:r>
              <w:t>Must be included in electricity</w:t>
            </w:r>
          </w:p>
        </w:tc>
      </w:tr>
      <w:tr w:rsidR="00CB46C9" w14:paraId="2F4D859E" w14:textId="77777777" w:rsidTr="005F4697">
        <w:trPr>
          <w:trHeight w:val="901"/>
        </w:trPr>
        <w:tc>
          <w:tcPr>
            <w:tcW w:w="1570" w:type="pct"/>
          </w:tcPr>
          <w:p w14:paraId="4BA0C8CE" w14:textId="77777777" w:rsidR="00CB46C9" w:rsidRDefault="00CB46C9" w:rsidP="00561F79">
            <w:r>
              <w:t>Water cooling</w:t>
            </w:r>
          </w:p>
        </w:tc>
        <w:tc>
          <w:tcPr>
            <w:tcW w:w="3430" w:type="pct"/>
          </w:tcPr>
          <w:p w14:paraId="72445A4E" w14:textId="77777777" w:rsidR="00CB46C9" w:rsidRDefault="00CB46C9" w:rsidP="00561F79">
            <w:r>
              <w:t>Must be included in electricity</w:t>
            </w:r>
          </w:p>
          <w:p w14:paraId="43494983" w14:textId="77777777" w:rsidR="00CB46C9" w:rsidRDefault="00CB46C9" w:rsidP="00754F72">
            <w:pPr>
              <w:pStyle w:val="ListParagraph"/>
              <w:numPr>
                <w:ilvl w:val="0"/>
                <w:numId w:val="13"/>
              </w:numPr>
              <w:ind w:left="462"/>
            </w:pPr>
            <w:r>
              <w:t>Open cycle water cooling (evaporative) must also include importing/processing of water where applicable.</w:t>
            </w:r>
          </w:p>
        </w:tc>
      </w:tr>
      <w:tr w:rsidR="00CB46C9" w14:paraId="7001DC6F" w14:textId="77777777" w:rsidTr="005F4697">
        <w:trPr>
          <w:trHeight w:val="901"/>
        </w:trPr>
        <w:tc>
          <w:tcPr>
            <w:tcW w:w="1570" w:type="pct"/>
          </w:tcPr>
          <w:p w14:paraId="4C0BBE76" w14:textId="77777777" w:rsidR="00CB46C9" w:rsidRDefault="00CB46C9" w:rsidP="00561F79">
            <w:r>
              <w:t>Heat pumps</w:t>
            </w:r>
          </w:p>
        </w:tc>
        <w:tc>
          <w:tcPr>
            <w:tcW w:w="3430" w:type="pct"/>
          </w:tcPr>
          <w:p w14:paraId="79969A51" w14:textId="77777777" w:rsidR="00CB46C9" w:rsidRDefault="00CB46C9" w:rsidP="00561F79">
            <w:r>
              <w:t>Mainly includes electricity consumption and refrigerant inventory/leaks.</w:t>
            </w:r>
          </w:p>
          <w:p w14:paraId="21AB1362" w14:textId="64DF4AB0" w:rsidR="00CB46C9" w:rsidRDefault="00CB46C9" w:rsidP="00754F72">
            <w:pPr>
              <w:pStyle w:val="ListParagraph"/>
              <w:numPr>
                <w:ilvl w:val="0"/>
                <w:numId w:val="12"/>
              </w:numPr>
              <w:ind w:left="462"/>
            </w:pPr>
            <w:r>
              <w:t>High GWP refrigerants per Part 4.5</w:t>
            </w:r>
            <w:r w:rsidR="004E21D5">
              <w:t xml:space="preserve"> of the </w:t>
            </w:r>
            <w:r w:rsidR="004E21D5" w:rsidRPr="00E52918">
              <w:rPr>
                <w:i/>
                <w:iCs/>
              </w:rPr>
              <w:t>NGER Determination</w:t>
            </w:r>
          </w:p>
        </w:tc>
      </w:tr>
    </w:tbl>
    <w:p w14:paraId="6F31EB57" w14:textId="1A8EF763" w:rsidR="00AB5CFB" w:rsidRPr="00822C20" w:rsidRDefault="00AB5CFB" w:rsidP="00E07BA3">
      <w:pPr>
        <w:pStyle w:val="Heading3"/>
        <w:spacing w:before="200"/>
      </w:pPr>
      <w:r>
        <w:t>Transport emissions</w:t>
      </w:r>
      <w:r w:rsidR="00346238">
        <w:t xml:space="preserve"> factors</w:t>
      </w:r>
    </w:p>
    <w:p w14:paraId="61E08CDE" w14:textId="7CB71910" w:rsidR="008E5F83" w:rsidRDefault="008E5F83" w:rsidP="00AB5CFB">
      <w:r>
        <w:t xml:space="preserve">The </w:t>
      </w:r>
      <w:r w:rsidR="00F432D0">
        <w:t xml:space="preserve">two </w:t>
      </w:r>
      <w:r w:rsidR="00791953">
        <w:t xml:space="preserve">approaches </w:t>
      </w:r>
      <w:r w:rsidR="00E16CB0">
        <w:t xml:space="preserve">accepted for </w:t>
      </w:r>
      <w:r w:rsidR="00791953">
        <w:t xml:space="preserve">calculating </w:t>
      </w:r>
      <w:r>
        <w:t xml:space="preserve">transport emissions </w:t>
      </w:r>
      <w:r w:rsidR="00780182">
        <w:t>are one based on</w:t>
      </w:r>
      <w:r w:rsidR="00A50BCD">
        <w:t xml:space="preserve"> the direct combustion of fuels used in transport</w:t>
      </w:r>
      <w:r w:rsidR="00FD7DC2">
        <w:t xml:space="preserve"> </w:t>
      </w:r>
      <w:r w:rsidR="008A3516">
        <w:t xml:space="preserve">and </w:t>
      </w:r>
      <w:r w:rsidR="000D342B">
        <w:t>the other based on</w:t>
      </w:r>
      <w:r w:rsidR="001D7199">
        <w:t xml:space="preserve"> the </w:t>
      </w:r>
      <w:r w:rsidR="001D7199" w:rsidDel="00A634A0">
        <w:t>distance</w:t>
      </w:r>
      <w:r w:rsidR="001D7199">
        <w:t xml:space="preserve"> tra</w:t>
      </w:r>
      <w:r w:rsidR="00615912">
        <w:t>nsported</w:t>
      </w:r>
      <w:r w:rsidR="001D7199">
        <w:t xml:space="preserve">. </w:t>
      </w:r>
    </w:p>
    <w:p w14:paraId="73992045" w14:textId="477CAD07" w:rsidR="00F432D0" w:rsidRDefault="00F432D0" w:rsidP="00F432D0">
      <w:pPr>
        <w:pStyle w:val="Heading4"/>
        <w:numPr>
          <w:ilvl w:val="3"/>
          <w:numId w:val="0"/>
        </w:numPr>
        <w:spacing w:before="240"/>
      </w:pPr>
      <w:r>
        <w:t xml:space="preserve">Distance </w:t>
      </w:r>
      <w:r w:rsidR="00615912">
        <w:t>transported</w:t>
      </w:r>
      <w:r>
        <w:t xml:space="preserve"> method</w:t>
      </w:r>
    </w:p>
    <w:p w14:paraId="232ECBF9" w14:textId="566F5193" w:rsidR="498FDC46" w:rsidRDefault="498FDC46" w:rsidP="72D496A8">
      <w:pPr>
        <w:rPr>
          <w:rFonts w:eastAsiaTheme="minorEastAsia"/>
        </w:rPr>
      </w:pPr>
      <w:r>
        <w:t xml:space="preserve">The </w:t>
      </w:r>
      <w:r w:rsidR="00285FF7">
        <w:t xml:space="preserve">sources of </w:t>
      </w:r>
      <w:r w:rsidR="00A634A0">
        <w:t xml:space="preserve">distance-based emissions factors are summarised in the table </w:t>
      </w:r>
      <w:r w:rsidDel="00A634A0">
        <w:t>below</w:t>
      </w:r>
      <w:r w:rsidR="2DA7184F">
        <w:t xml:space="preserve">, </w:t>
      </w:r>
      <w:r w:rsidR="2DA7184F" w:rsidRPr="3DD2ECDE">
        <w:rPr>
          <w:rFonts w:eastAsiaTheme="minorEastAsia"/>
        </w:rPr>
        <w:t xml:space="preserve">including </w:t>
      </w:r>
      <w:r w:rsidR="00861F98">
        <w:rPr>
          <w:rFonts w:eastAsiaTheme="minorEastAsia"/>
        </w:rPr>
        <w:t xml:space="preserve">the </w:t>
      </w:r>
      <w:r w:rsidR="2DA7184F" w:rsidRPr="51826723">
        <w:rPr>
          <w:rFonts w:eastAsiaTheme="minorEastAsia"/>
        </w:rPr>
        <w:t>Bureau of Infrastructure and Transport Research Economics (BITRE)</w:t>
      </w:r>
      <w:r w:rsidR="00861F98">
        <w:rPr>
          <w:rFonts w:eastAsiaTheme="minorEastAsia"/>
        </w:rPr>
        <w:t xml:space="preserve"> statistics </w:t>
      </w:r>
      <w:hyperlink r:id="rId22" w:history="1">
        <w:r w:rsidR="00861F98" w:rsidRPr="00861F98">
          <w:rPr>
            <w:rStyle w:val="Hyperlink"/>
            <w:rFonts w:eastAsiaTheme="minorEastAsia"/>
          </w:rPr>
          <w:t>yearbook</w:t>
        </w:r>
      </w:hyperlink>
      <w:r w:rsidR="5940C4DC" w:rsidRPr="3DD2ECDE">
        <w:rPr>
          <w:rFonts w:eastAsiaTheme="minorEastAsia"/>
        </w:rPr>
        <w:t xml:space="preserve">. </w:t>
      </w:r>
    </w:p>
    <w:p w14:paraId="6E712622" w14:textId="3A8AC9E4" w:rsidR="00AB5CFB" w:rsidRDefault="00AB5CFB" w:rsidP="00621A7C">
      <w:pPr>
        <w:pStyle w:val="Table"/>
        <w:keepNext/>
        <w:spacing w:before="200"/>
      </w:pPr>
      <w:r>
        <w:t xml:space="preserve">Table </w:t>
      </w:r>
      <w:r w:rsidR="008941FC">
        <w:t xml:space="preserve">4.5 </w:t>
      </w:r>
      <w:r>
        <w:t xml:space="preserve">Distance </w:t>
      </w:r>
      <w:r w:rsidR="05AEC666">
        <w:t>b</w:t>
      </w:r>
      <w:r>
        <w:t xml:space="preserve">ased </w:t>
      </w:r>
      <w:r w:rsidR="16C6B637">
        <w:t>e</w:t>
      </w:r>
      <w:r>
        <w:t>missions factors</w:t>
      </w:r>
    </w:p>
    <w:tbl>
      <w:tblPr>
        <w:tblStyle w:val="TableGrid"/>
        <w:tblW w:w="5000" w:type="pct"/>
        <w:tblLook w:val="04A0" w:firstRow="1" w:lastRow="0" w:firstColumn="1" w:lastColumn="0" w:noHBand="0" w:noVBand="1"/>
      </w:tblPr>
      <w:tblGrid>
        <w:gridCol w:w="3397"/>
        <w:gridCol w:w="5619"/>
      </w:tblGrid>
      <w:tr w:rsidR="00AB5CFB" w:rsidRPr="0058072A" w14:paraId="12982B51" w14:textId="77777777" w:rsidTr="009356EA">
        <w:trPr>
          <w:trHeight w:val="397"/>
        </w:trPr>
        <w:tc>
          <w:tcPr>
            <w:tcW w:w="1884" w:type="pct"/>
            <w:shd w:val="clear" w:color="auto" w:fill="AEAAAA" w:themeFill="background2" w:themeFillShade="BF"/>
            <w:vAlign w:val="center"/>
          </w:tcPr>
          <w:p w14:paraId="05D0E283" w14:textId="77777777" w:rsidR="00AB5CFB" w:rsidRPr="0058072A" w:rsidRDefault="00AB5CFB" w:rsidP="00DC7051">
            <w:pPr>
              <w:rPr>
                <w:b/>
                <w:bCs/>
              </w:rPr>
            </w:pPr>
            <w:r>
              <w:rPr>
                <w:b/>
                <w:bCs/>
              </w:rPr>
              <w:t>Type</w:t>
            </w:r>
          </w:p>
        </w:tc>
        <w:tc>
          <w:tcPr>
            <w:tcW w:w="3116" w:type="pct"/>
            <w:shd w:val="clear" w:color="auto" w:fill="AEAAAA" w:themeFill="background2" w:themeFillShade="BF"/>
            <w:vAlign w:val="center"/>
          </w:tcPr>
          <w:p w14:paraId="398E6E51" w14:textId="77777777" w:rsidR="00AB5CFB" w:rsidRPr="0058072A" w:rsidRDefault="00AB5CFB" w:rsidP="00DC7051">
            <w:pPr>
              <w:rPr>
                <w:b/>
                <w:bCs/>
              </w:rPr>
            </w:pPr>
            <w:r w:rsidRPr="0058072A">
              <w:rPr>
                <w:b/>
                <w:bCs/>
              </w:rPr>
              <w:t>Source</w:t>
            </w:r>
          </w:p>
        </w:tc>
      </w:tr>
      <w:tr w:rsidR="00AB5CFB" w14:paraId="35CFA53A" w14:textId="77777777" w:rsidTr="005F4697">
        <w:trPr>
          <w:trHeight w:val="340"/>
        </w:trPr>
        <w:tc>
          <w:tcPr>
            <w:tcW w:w="5000" w:type="pct"/>
            <w:gridSpan w:val="2"/>
            <w:shd w:val="clear" w:color="auto" w:fill="D0CECE" w:themeFill="background2" w:themeFillShade="E6"/>
          </w:tcPr>
          <w:p w14:paraId="408CD30D" w14:textId="5E9667DE" w:rsidR="00AB5CFB" w:rsidRDefault="00AB5CFB" w:rsidP="00561F79">
            <w:r>
              <w:rPr>
                <w:b/>
                <w:bCs/>
              </w:rPr>
              <w:t xml:space="preserve">Section </w:t>
            </w:r>
            <w:r w:rsidR="00845E75">
              <w:rPr>
                <w:b/>
                <w:bCs/>
              </w:rPr>
              <w:t>A</w:t>
            </w:r>
            <w:r>
              <w:rPr>
                <w:b/>
                <w:bCs/>
              </w:rPr>
              <w:t xml:space="preserve"> – Transport via truck (bulk gas container) </w:t>
            </w:r>
          </w:p>
        </w:tc>
      </w:tr>
      <w:tr w:rsidR="00AB5CFB" w14:paraId="38EFBFDA" w14:textId="77777777" w:rsidTr="009356EA">
        <w:trPr>
          <w:trHeight w:val="624"/>
        </w:trPr>
        <w:tc>
          <w:tcPr>
            <w:tcW w:w="1884" w:type="pct"/>
          </w:tcPr>
          <w:p w14:paraId="7A026A86" w14:textId="77777777" w:rsidR="00AB5CFB" w:rsidRDefault="00AB5CFB" w:rsidP="00561F79">
            <w:r>
              <w:t>Articulated Truck (General)</w:t>
            </w:r>
          </w:p>
        </w:tc>
        <w:tc>
          <w:tcPr>
            <w:tcW w:w="3116" w:type="pct"/>
          </w:tcPr>
          <w:p w14:paraId="49BD8952" w14:textId="42AA00A3" w:rsidR="00AB5CFB" w:rsidRDefault="00AB5CFB" w:rsidP="00561F79">
            <w:r>
              <w:t>BITRE 2021, Tables 6.6 and 11.5, -full fuel cycle (2017-2020 ave</w:t>
            </w:r>
            <w:r w:rsidR="00B27B76">
              <w:t>rage</w:t>
            </w:r>
            <w:r>
              <w:t>)</w:t>
            </w:r>
          </w:p>
        </w:tc>
      </w:tr>
      <w:tr w:rsidR="00AB5CFB" w14:paraId="293EFCE8" w14:textId="77777777" w:rsidTr="005F4697">
        <w:trPr>
          <w:trHeight w:val="340"/>
        </w:trPr>
        <w:tc>
          <w:tcPr>
            <w:tcW w:w="5000" w:type="pct"/>
            <w:gridSpan w:val="2"/>
            <w:shd w:val="clear" w:color="auto" w:fill="D0CECE" w:themeFill="background2" w:themeFillShade="E6"/>
          </w:tcPr>
          <w:p w14:paraId="609FDD18" w14:textId="7AB2AF5D" w:rsidR="00AB5CFB" w:rsidRDefault="00AB5CFB" w:rsidP="00561F79">
            <w:r>
              <w:rPr>
                <w:b/>
                <w:bCs/>
              </w:rPr>
              <w:t xml:space="preserve">Section </w:t>
            </w:r>
            <w:r w:rsidR="00845E75">
              <w:rPr>
                <w:b/>
                <w:bCs/>
              </w:rPr>
              <w:t>B</w:t>
            </w:r>
            <w:r>
              <w:rPr>
                <w:b/>
                <w:bCs/>
              </w:rPr>
              <w:t xml:space="preserve"> – Transport via truck (ISO fluid container on </w:t>
            </w:r>
            <w:proofErr w:type="spellStart"/>
            <w:r>
              <w:rPr>
                <w:b/>
                <w:bCs/>
              </w:rPr>
              <w:t>flat bed</w:t>
            </w:r>
            <w:proofErr w:type="spellEnd"/>
            <w:r>
              <w:rPr>
                <w:b/>
                <w:bCs/>
              </w:rPr>
              <w:t xml:space="preserve"> trailer) </w:t>
            </w:r>
          </w:p>
        </w:tc>
      </w:tr>
      <w:tr w:rsidR="00AB5CFB" w14:paraId="12217A99" w14:textId="77777777" w:rsidTr="009356EA">
        <w:trPr>
          <w:trHeight w:val="624"/>
        </w:trPr>
        <w:tc>
          <w:tcPr>
            <w:tcW w:w="1884" w:type="pct"/>
          </w:tcPr>
          <w:p w14:paraId="70790E3F" w14:textId="77777777" w:rsidR="00AB5CFB" w:rsidRDefault="00AB5CFB" w:rsidP="00561F79">
            <w:r>
              <w:t>Articulated Truck (General)</w:t>
            </w:r>
          </w:p>
        </w:tc>
        <w:tc>
          <w:tcPr>
            <w:tcW w:w="3116" w:type="pct"/>
          </w:tcPr>
          <w:p w14:paraId="6F24690A" w14:textId="20688F2C" w:rsidR="00AB5CFB" w:rsidRDefault="00AB5CFB" w:rsidP="00561F79">
            <w:r>
              <w:t>BITRE 2021</w:t>
            </w:r>
            <w:r w:rsidRPr="000D6560">
              <w:t>, Tables 6.6 and 11.5,</w:t>
            </w:r>
            <w:r>
              <w:t xml:space="preserve"> -full fuel cycle (2017-2020 ave</w:t>
            </w:r>
            <w:r w:rsidR="00B27B76">
              <w:t>rage</w:t>
            </w:r>
            <w:r>
              <w:t>)</w:t>
            </w:r>
          </w:p>
        </w:tc>
      </w:tr>
      <w:tr w:rsidR="00AB5CFB" w14:paraId="66631AC1" w14:textId="77777777" w:rsidTr="005F4697">
        <w:trPr>
          <w:trHeight w:val="340"/>
        </w:trPr>
        <w:tc>
          <w:tcPr>
            <w:tcW w:w="5000" w:type="pct"/>
            <w:gridSpan w:val="2"/>
            <w:shd w:val="clear" w:color="auto" w:fill="D0CECE" w:themeFill="background2" w:themeFillShade="E6"/>
          </w:tcPr>
          <w:p w14:paraId="2968E965" w14:textId="446A2773" w:rsidR="00AB5CFB" w:rsidRDefault="00AB5CFB" w:rsidP="00561F79">
            <w:r>
              <w:rPr>
                <w:b/>
                <w:bCs/>
              </w:rPr>
              <w:t xml:space="preserve">Section </w:t>
            </w:r>
            <w:r w:rsidR="00845E75">
              <w:rPr>
                <w:b/>
                <w:bCs/>
              </w:rPr>
              <w:t>C</w:t>
            </w:r>
            <w:r>
              <w:rPr>
                <w:b/>
                <w:bCs/>
              </w:rPr>
              <w:t xml:space="preserve"> – Transport via truck (Gas cylinder trucks) </w:t>
            </w:r>
          </w:p>
        </w:tc>
      </w:tr>
      <w:tr w:rsidR="00AB5CFB" w14:paraId="31E537CA" w14:textId="77777777" w:rsidTr="009356EA">
        <w:trPr>
          <w:trHeight w:val="624"/>
        </w:trPr>
        <w:tc>
          <w:tcPr>
            <w:tcW w:w="1884" w:type="pct"/>
          </w:tcPr>
          <w:p w14:paraId="030648BE" w14:textId="77777777" w:rsidR="00AB5CFB" w:rsidRDefault="00AB5CFB" w:rsidP="00561F79">
            <w:r>
              <w:t>Rigid Truck (General)</w:t>
            </w:r>
          </w:p>
        </w:tc>
        <w:tc>
          <w:tcPr>
            <w:tcW w:w="3116" w:type="pct"/>
          </w:tcPr>
          <w:p w14:paraId="23214058" w14:textId="66493FA8" w:rsidR="00AB5CFB" w:rsidRDefault="00AB5CFB" w:rsidP="00561F79">
            <w:r>
              <w:t>BITRE 2021</w:t>
            </w:r>
            <w:r w:rsidRPr="007F7678">
              <w:t>, Tables 6.6 and 11.5,</w:t>
            </w:r>
            <w:r>
              <w:t xml:space="preserve"> -full fuel cycle (2017-2020 ave</w:t>
            </w:r>
            <w:r w:rsidR="00B27B76">
              <w:t>rage</w:t>
            </w:r>
            <w:r>
              <w:t>)</w:t>
            </w:r>
          </w:p>
        </w:tc>
      </w:tr>
      <w:tr w:rsidR="00AB5CFB" w14:paraId="3350A57B" w14:textId="77777777" w:rsidTr="009356EA">
        <w:trPr>
          <w:trHeight w:val="624"/>
        </w:trPr>
        <w:tc>
          <w:tcPr>
            <w:tcW w:w="1884" w:type="pct"/>
          </w:tcPr>
          <w:p w14:paraId="419A13DA" w14:textId="77777777" w:rsidR="00AB5CFB" w:rsidRDefault="00AB5CFB" w:rsidP="00561F79">
            <w:r>
              <w:t>Light Commercial (General)</w:t>
            </w:r>
          </w:p>
        </w:tc>
        <w:tc>
          <w:tcPr>
            <w:tcW w:w="3116" w:type="pct"/>
          </w:tcPr>
          <w:p w14:paraId="4EF8795F" w14:textId="231C0479" w:rsidR="00AB5CFB" w:rsidRDefault="00AB5CFB" w:rsidP="00561F79">
            <w:r>
              <w:t>BITRE 2021</w:t>
            </w:r>
            <w:r w:rsidRPr="007F7678">
              <w:t>, Tables 6.6 and 11.5,</w:t>
            </w:r>
            <w:r>
              <w:t xml:space="preserve"> -full fuel cycle (2017-2020 ave</w:t>
            </w:r>
            <w:r w:rsidR="00B27B76">
              <w:t>rage</w:t>
            </w:r>
            <w:r>
              <w:t>)</w:t>
            </w:r>
          </w:p>
        </w:tc>
      </w:tr>
      <w:tr w:rsidR="00AB5CFB" w14:paraId="76E71AAE" w14:textId="77777777" w:rsidTr="005F4697">
        <w:trPr>
          <w:trHeight w:val="340"/>
        </w:trPr>
        <w:tc>
          <w:tcPr>
            <w:tcW w:w="5000" w:type="pct"/>
            <w:gridSpan w:val="2"/>
            <w:shd w:val="clear" w:color="auto" w:fill="D0CECE" w:themeFill="background2" w:themeFillShade="E6"/>
          </w:tcPr>
          <w:p w14:paraId="37E923DF" w14:textId="1BB85A8C" w:rsidR="00AB5CFB" w:rsidRDefault="00AB5CFB" w:rsidP="00561F79">
            <w:r>
              <w:rPr>
                <w:b/>
                <w:bCs/>
              </w:rPr>
              <w:t xml:space="preserve">Section </w:t>
            </w:r>
            <w:r w:rsidR="00845E75">
              <w:rPr>
                <w:b/>
                <w:bCs/>
              </w:rPr>
              <w:t>D</w:t>
            </w:r>
            <w:r>
              <w:rPr>
                <w:b/>
                <w:bCs/>
              </w:rPr>
              <w:t xml:space="preserve"> – Transport via coastal shipping</w:t>
            </w:r>
          </w:p>
        </w:tc>
      </w:tr>
      <w:tr w:rsidR="00AB5CFB" w14:paraId="46CE0395" w14:textId="77777777" w:rsidTr="009356EA">
        <w:trPr>
          <w:trHeight w:val="397"/>
        </w:trPr>
        <w:tc>
          <w:tcPr>
            <w:tcW w:w="1884" w:type="pct"/>
            <w:vAlign w:val="center"/>
          </w:tcPr>
          <w:p w14:paraId="1AF7809F" w14:textId="77777777" w:rsidR="00AB5CFB" w:rsidRDefault="00AB5CFB" w:rsidP="009356EA">
            <w:r w:rsidRPr="00DE2B7F">
              <w:t>General ISO container vessels</w:t>
            </w:r>
          </w:p>
        </w:tc>
        <w:tc>
          <w:tcPr>
            <w:tcW w:w="3116" w:type="pct"/>
            <w:vAlign w:val="center"/>
          </w:tcPr>
          <w:p w14:paraId="240E0D89" w14:textId="04E453C7" w:rsidR="00AB5CFB" w:rsidRDefault="00AB5CFB" w:rsidP="00177029">
            <w:r w:rsidRPr="00DE2B7F">
              <w:t>BITRE 2021, Table 4.1c and table 11.</w:t>
            </w:r>
            <w:r w:rsidR="00EA3778">
              <w:t>9</w:t>
            </w:r>
            <w:r w:rsidR="00EA3778" w:rsidRPr="00DE2B7F">
              <w:t xml:space="preserve"> </w:t>
            </w:r>
            <w:r w:rsidRPr="00DE2B7F">
              <w:t>(2017-2020 ave</w:t>
            </w:r>
            <w:r w:rsidR="00B27B76">
              <w:t>rage</w:t>
            </w:r>
            <w:r w:rsidRPr="00DE2B7F">
              <w:t>)</w:t>
            </w:r>
          </w:p>
        </w:tc>
      </w:tr>
      <w:tr w:rsidR="00AB5CFB" w14:paraId="58935A2D" w14:textId="77777777" w:rsidTr="009356EA">
        <w:trPr>
          <w:trHeight w:val="397"/>
        </w:trPr>
        <w:tc>
          <w:tcPr>
            <w:tcW w:w="1884" w:type="pct"/>
            <w:vAlign w:val="center"/>
          </w:tcPr>
          <w:p w14:paraId="686C58D2" w14:textId="77777777" w:rsidR="00AB5CFB" w:rsidRDefault="00AB5CFB" w:rsidP="009356EA">
            <w:r w:rsidRPr="00DE2B7F">
              <w:t>Dedicated liquid hydrogen tanker</w:t>
            </w:r>
          </w:p>
        </w:tc>
        <w:tc>
          <w:tcPr>
            <w:tcW w:w="3116" w:type="pct"/>
            <w:vAlign w:val="center"/>
          </w:tcPr>
          <w:p w14:paraId="1F986D7F" w14:textId="466EA726" w:rsidR="00AB5CFB" w:rsidRDefault="00AB5CFB" w:rsidP="00177029">
            <w:r w:rsidRPr="00DE2B7F">
              <w:t>BITRE 2021, Table 4.1c and table 11.</w:t>
            </w:r>
            <w:r w:rsidR="00EA3778">
              <w:t>9</w:t>
            </w:r>
            <w:r w:rsidR="00EA3778" w:rsidRPr="00DE2B7F">
              <w:t xml:space="preserve"> </w:t>
            </w:r>
            <w:r w:rsidRPr="00DE2B7F">
              <w:t>(2017-2020 ave</w:t>
            </w:r>
            <w:r w:rsidR="00B27B76">
              <w:t>rage</w:t>
            </w:r>
            <w:r w:rsidRPr="00DE2B7F">
              <w:t>)</w:t>
            </w:r>
          </w:p>
        </w:tc>
      </w:tr>
      <w:tr w:rsidR="00AB5CFB" w14:paraId="33C22D66" w14:textId="77777777" w:rsidTr="005F4697">
        <w:trPr>
          <w:trHeight w:val="340"/>
        </w:trPr>
        <w:tc>
          <w:tcPr>
            <w:tcW w:w="5000" w:type="pct"/>
            <w:gridSpan w:val="2"/>
            <w:shd w:val="clear" w:color="auto" w:fill="D0CECE" w:themeFill="background2" w:themeFillShade="E6"/>
          </w:tcPr>
          <w:p w14:paraId="27F755F4" w14:textId="7BAAE5C8" w:rsidR="00AB5CFB" w:rsidRDefault="00AB5CFB" w:rsidP="00561F79">
            <w:r>
              <w:rPr>
                <w:b/>
                <w:bCs/>
              </w:rPr>
              <w:t xml:space="preserve">Section </w:t>
            </w:r>
            <w:r w:rsidR="00845E75">
              <w:rPr>
                <w:b/>
                <w:bCs/>
              </w:rPr>
              <w:t>E</w:t>
            </w:r>
            <w:r>
              <w:rPr>
                <w:b/>
                <w:bCs/>
              </w:rPr>
              <w:t xml:space="preserve"> – Transport via rail</w:t>
            </w:r>
          </w:p>
        </w:tc>
      </w:tr>
      <w:tr w:rsidR="00AB5CFB" w14:paraId="45EA1F2F" w14:textId="77777777" w:rsidTr="009356EA">
        <w:trPr>
          <w:trHeight w:val="397"/>
        </w:trPr>
        <w:tc>
          <w:tcPr>
            <w:tcW w:w="1884" w:type="pct"/>
            <w:vAlign w:val="center"/>
          </w:tcPr>
          <w:p w14:paraId="3B545E5F" w14:textId="77777777" w:rsidR="00AB5CFB" w:rsidRDefault="00AB5CFB" w:rsidP="009356EA">
            <w:r>
              <w:t>Dedicated rail car</w:t>
            </w:r>
          </w:p>
        </w:tc>
        <w:tc>
          <w:tcPr>
            <w:tcW w:w="3116" w:type="pct"/>
            <w:vAlign w:val="center"/>
          </w:tcPr>
          <w:p w14:paraId="2EB544D2" w14:textId="1E0F3CF1" w:rsidR="00AB5CFB" w:rsidRDefault="00AB5CFB" w:rsidP="009356EA">
            <w:r w:rsidRPr="00DE2B7F">
              <w:t>BITRE 2021, Table 4.1c and table 11.</w:t>
            </w:r>
            <w:r w:rsidR="00EA3778">
              <w:t>9</w:t>
            </w:r>
            <w:r w:rsidR="00EA3778" w:rsidRPr="00DE2B7F">
              <w:t xml:space="preserve"> </w:t>
            </w:r>
            <w:r w:rsidRPr="00DE2B7F">
              <w:t>(2017-2020 ave</w:t>
            </w:r>
            <w:r w:rsidR="004B3630">
              <w:t>rage</w:t>
            </w:r>
            <w:r w:rsidRPr="00DE2B7F">
              <w:t>)</w:t>
            </w:r>
          </w:p>
        </w:tc>
      </w:tr>
      <w:tr w:rsidR="00AB5CFB" w14:paraId="6A127EE4" w14:textId="77777777" w:rsidTr="009356EA">
        <w:trPr>
          <w:trHeight w:val="397"/>
        </w:trPr>
        <w:tc>
          <w:tcPr>
            <w:tcW w:w="1884" w:type="pct"/>
            <w:vAlign w:val="center"/>
          </w:tcPr>
          <w:p w14:paraId="41BB206C" w14:textId="77777777" w:rsidR="00AB5CFB" w:rsidRPr="00DE2B7F" w:rsidRDefault="00AB5CFB" w:rsidP="009356EA">
            <w:r>
              <w:t>ISO container flat-bed car</w:t>
            </w:r>
          </w:p>
        </w:tc>
        <w:tc>
          <w:tcPr>
            <w:tcW w:w="3116" w:type="pct"/>
            <w:vAlign w:val="center"/>
          </w:tcPr>
          <w:p w14:paraId="42D79A9D" w14:textId="49A19EC0" w:rsidR="00AB5CFB" w:rsidRPr="00DE2B7F" w:rsidRDefault="00AB5CFB" w:rsidP="009356EA">
            <w:r w:rsidRPr="00DE2B7F">
              <w:t>BITRE 2021, Table 4.1c and table 11.</w:t>
            </w:r>
            <w:r w:rsidR="00EA3778">
              <w:t>9</w:t>
            </w:r>
            <w:r w:rsidR="00EA3778" w:rsidRPr="00DE2B7F">
              <w:t xml:space="preserve"> </w:t>
            </w:r>
            <w:r w:rsidRPr="00DE2B7F">
              <w:t>(2017-2020 ave</w:t>
            </w:r>
            <w:r w:rsidR="004B3630">
              <w:t>rage</w:t>
            </w:r>
            <w:r w:rsidRPr="00DE2B7F">
              <w:t>)</w:t>
            </w:r>
          </w:p>
        </w:tc>
      </w:tr>
    </w:tbl>
    <w:p w14:paraId="61486FA6" w14:textId="5B24A42B" w:rsidR="00B3312B" w:rsidRDefault="0079559F" w:rsidP="00B3312B">
      <w:pPr>
        <w:pStyle w:val="Heading4"/>
        <w:numPr>
          <w:ilvl w:val="3"/>
          <w:numId w:val="0"/>
        </w:numPr>
        <w:spacing w:before="240"/>
      </w:pPr>
      <w:r>
        <w:t xml:space="preserve">Direct </w:t>
      </w:r>
      <w:r w:rsidR="00D53673">
        <w:t>co</w:t>
      </w:r>
      <w:r w:rsidR="00F432D0">
        <w:t>mbustion method</w:t>
      </w:r>
    </w:p>
    <w:p w14:paraId="79EACCFB" w14:textId="202D48C2" w:rsidR="00534482" w:rsidRDefault="00FE5948" w:rsidP="00FE5948">
      <w:pPr>
        <w:pStyle w:val="Table"/>
        <w:keepNext/>
        <w:rPr>
          <w:b w:val="0"/>
          <w:bCs w:val="0"/>
          <w:i w:val="0"/>
          <w:iCs w:val="0"/>
        </w:rPr>
      </w:pPr>
      <w:r w:rsidRPr="00FE5948">
        <w:rPr>
          <w:b w:val="0"/>
          <w:bCs w:val="0"/>
          <w:i w:val="0"/>
          <w:iCs w:val="0"/>
        </w:rPr>
        <w:t xml:space="preserve">The direct combustion of fuels used in transport can use values sourced in accordance with the combustion emissions </w:t>
      </w:r>
      <w:r w:rsidR="00534482">
        <w:rPr>
          <w:b w:val="0"/>
          <w:bCs w:val="0"/>
          <w:i w:val="0"/>
          <w:iCs w:val="0"/>
        </w:rPr>
        <w:t>in</w:t>
      </w:r>
      <w:r w:rsidR="008941FC">
        <w:rPr>
          <w:b w:val="0"/>
          <w:bCs w:val="0"/>
          <w:i w:val="0"/>
          <w:iCs w:val="0"/>
        </w:rPr>
        <w:t xml:space="preserve"> Table 4.6</w:t>
      </w:r>
      <w:r w:rsidR="37C5EC06" w:rsidRPr="5095C76D">
        <w:rPr>
          <w:b w:val="0"/>
          <w:bCs w:val="0"/>
          <w:i w:val="0"/>
          <w:iCs w:val="0"/>
        </w:rPr>
        <w:t xml:space="preserve">, from BITRE and </w:t>
      </w:r>
      <w:r w:rsidR="37C5EC06" w:rsidRPr="6FF260E6">
        <w:rPr>
          <w:b w:val="0"/>
          <w:bCs w:val="0"/>
          <w:i w:val="0"/>
          <w:iCs w:val="0"/>
        </w:rPr>
        <w:t xml:space="preserve">Australian Bureau of </w:t>
      </w:r>
      <w:r w:rsidR="531AAEE8" w:rsidRPr="67866391">
        <w:rPr>
          <w:b w:val="0"/>
          <w:bCs w:val="0"/>
          <w:i w:val="0"/>
          <w:iCs w:val="0"/>
        </w:rPr>
        <w:t>Statistics'</w:t>
      </w:r>
      <w:r w:rsidR="37C5EC06" w:rsidRPr="6FF260E6">
        <w:rPr>
          <w:b w:val="0"/>
          <w:bCs w:val="0"/>
          <w:i w:val="0"/>
          <w:iCs w:val="0"/>
        </w:rPr>
        <w:t xml:space="preserve"> </w:t>
      </w:r>
      <w:hyperlink r:id="rId23" w:history="1">
        <w:r w:rsidR="37C5EC06" w:rsidRPr="00921A12">
          <w:rPr>
            <w:rStyle w:val="Hyperlink"/>
            <w:b w:val="0"/>
            <w:bCs w:val="0"/>
            <w:i w:val="0"/>
            <w:iCs w:val="0"/>
          </w:rPr>
          <w:t>Survey of Motor Ve</w:t>
        </w:r>
        <w:r w:rsidR="448535CB" w:rsidRPr="00921A12">
          <w:rPr>
            <w:rStyle w:val="Hyperlink"/>
            <w:b w:val="0"/>
            <w:bCs w:val="0"/>
            <w:i w:val="0"/>
            <w:iCs w:val="0"/>
          </w:rPr>
          <w:t>hicle Use</w:t>
        </w:r>
        <w:r w:rsidR="03DBAF7A" w:rsidRPr="00921A12">
          <w:rPr>
            <w:rStyle w:val="Hyperlink"/>
            <w:b w:val="0"/>
            <w:bCs w:val="0"/>
            <w:i w:val="0"/>
            <w:iCs w:val="0"/>
          </w:rPr>
          <w:t>, Australia</w:t>
        </w:r>
      </w:hyperlink>
      <w:r w:rsidR="448535CB" w:rsidRPr="0700207C">
        <w:rPr>
          <w:b w:val="0"/>
          <w:bCs w:val="0"/>
          <w:i w:val="0"/>
          <w:iCs w:val="0"/>
        </w:rPr>
        <w:t xml:space="preserve"> (ABS SMVU)</w:t>
      </w:r>
      <w:r w:rsidR="00C45ED4" w:rsidRPr="0700207C">
        <w:rPr>
          <w:b w:val="0"/>
          <w:bCs w:val="0"/>
          <w:i w:val="0"/>
          <w:iCs w:val="0"/>
        </w:rPr>
        <w:t>.</w:t>
      </w:r>
    </w:p>
    <w:p w14:paraId="717872CF" w14:textId="79F11807" w:rsidR="00F53E33" w:rsidRPr="00FE5948" w:rsidRDefault="00FD1871" w:rsidP="00687977">
      <w:pPr>
        <w:spacing w:before="120"/>
      </w:pPr>
      <w:r w:rsidRPr="00687977">
        <w:t xml:space="preserve">For </w:t>
      </w:r>
      <w:r w:rsidR="001C04C0" w:rsidRPr="00687977">
        <w:t>vehicular transport,</w:t>
      </w:r>
      <w:r w:rsidR="001C04C0">
        <w:rPr>
          <w:b/>
          <w:bCs/>
          <w:i/>
          <w:iCs/>
        </w:rPr>
        <w:t xml:space="preserve"> </w:t>
      </w:r>
      <w:r w:rsidR="00D50890" w:rsidRPr="00D50890">
        <w:t xml:space="preserve">the </w:t>
      </w:r>
      <w:r w:rsidR="004A5944">
        <w:t xml:space="preserve">default </w:t>
      </w:r>
      <w:r w:rsidR="00D50890" w:rsidRPr="00D50890">
        <w:t>fuel efficiency</w:t>
      </w:r>
      <w:r w:rsidR="00AE05E4">
        <w:t xml:space="preserve"> for each fuel type and vehicle type </w:t>
      </w:r>
      <w:r w:rsidR="004A5944">
        <w:t xml:space="preserve">can be </w:t>
      </w:r>
      <w:r w:rsidR="005300C2">
        <w:t xml:space="preserve">estimated </w:t>
      </w:r>
      <w:r w:rsidR="00B42285">
        <w:t xml:space="preserve">using the </w:t>
      </w:r>
      <w:r w:rsidR="00DC64E0">
        <w:t xml:space="preserve">data in the reference documents </w:t>
      </w:r>
      <w:r w:rsidR="007F559B">
        <w:t>listed in the table below.</w:t>
      </w:r>
      <w:r w:rsidR="00D50890" w:rsidRPr="00D50890">
        <w:t xml:space="preserve"> </w:t>
      </w:r>
      <w:r w:rsidR="006056C5">
        <w:t xml:space="preserve">The </w:t>
      </w:r>
      <w:r w:rsidR="00295684">
        <w:t xml:space="preserve">emissions </w:t>
      </w:r>
      <w:r w:rsidR="00525A54">
        <w:t xml:space="preserve">intensity per </w:t>
      </w:r>
      <w:r w:rsidR="00033DEE">
        <w:t xml:space="preserve">distance </w:t>
      </w:r>
      <w:r w:rsidR="00295684">
        <w:t xml:space="preserve">is then calculated </w:t>
      </w:r>
      <w:r w:rsidR="00574C6B">
        <w:t xml:space="preserve">by multiplying </w:t>
      </w:r>
      <w:r w:rsidR="00294A42">
        <w:t>th</w:t>
      </w:r>
      <w:r w:rsidR="008354D8">
        <w:t>is</w:t>
      </w:r>
      <w:r w:rsidR="00294A42">
        <w:t xml:space="preserve"> fuel efficiency factor and </w:t>
      </w:r>
      <w:r w:rsidR="00687977">
        <w:t>the fuel type factors.</w:t>
      </w:r>
    </w:p>
    <w:p w14:paraId="2B38EE38" w14:textId="70A3226A" w:rsidR="00AB5CFB" w:rsidRDefault="00AB5CFB" w:rsidP="00621A7C">
      <w:pPr>
        <w:pStyle w:val="Table"/>
        <w:keepNext/>
        <w:spacing w:before="200"/>
      </w:pPr>
      <w:r>
        <w:t xml:space="preserve">Table </w:t>
      </w:r>
      <w:r w:rsidR="008941FC">
        <w:t xml:space="preserve">4.6 </w:t>
      </w:r>
      <w:r>
        <w:t xml:space="preserve">Fuel efficiency </w:t>
      </w:r>
      <w:r w:rsidR="56621A92">
        <w:t>factors</w:t>
      </w:r>
    </w:p>
    <w:tbl>
      <w:tblPr>
        <w:tblStyle w:val="TableGrid"/>
        <w:tblW w:w="5000" w:type="pct"/>
        <w:tblLook w:val="04A0" w:firstRow="1" w:lastRow="0" w:firstColumn="1" w:lastColumn="0" w:noHBand="0" w:noVBand="1"/>
      </w:tblPr>
      <w:tblGrid>
        <w:gridCol w:w="3976"/>
        <w:gridCol w:w="5040"/>
      </w:tblGrid>
      <w:tr w:rsidR="00AB5CFB" w14:paraId="29042B98" w14:textId="77777777" w:rsidTr="00177029">
        <w:trPr>
          <w:trHeight w:val="397"/>
        </w:trPr>
        <w:tc>
          <w:tcPr>
            <w:tcW w:w="5000" w:type="pct"/>
            <w:gridSpan w:val="2"/>
            <w:shd w:val="clear" w:color="auto" w:fill="D0CECE" w:themeFill="background2" w:themeFillShade="E6"/>
            <w:vAlign w:val="center"/>
          </w:tcPr>
          <w:p w14:paraId="33A02C09" w14:textId="294578BE" w:rsidR="00AB5CFB" w:rsidRDefault="00AB5CFB" w:rsidP="00B37E2C">
            <w:r>
              <w:rPr>
                <w:b/>
                <w:bCs/>
              </w:rPr>
              <w:t xml:space="preserve">Section </w:t>
            </w:r>
            <w:r w:rsidR="00786D69">
              <w:rPr>
                <w:b/>
                <w:bCs/>
              </w:rPr>
              <w:t>A</w:t>
            </w:r>
            <w:r>
              <w:rPr>
                <w:b/>
                <w:bCs/>
              </w:rPr>
              <w:t xml:space="preserve"> – Transport via truck (bulk gas container) </w:t>
            </w:r>
          </w:p>
        </w:tc>
      </w:tr>
      <w:tr w:rsidR="00AB5CFB" w14:paraId="5536DEC9" w14:textId="77777777" w:rsidTr="00177029">
        <w:trPr>
          <w:trHeight w:val="397"/>
        </w:trPr>
        <w:tc>
          <w:tcPr>
            <w:tcW w:w="2205" w:type="pct"/>
            <w:vAlign w:val="center"/>
          </w:tcPr>
          <w:p w14:paraId="20093259" w14:textId="77777777" w:rsidR="00AB5CFB" w:rsidRDefault="00AB5CFB" w:rsidP="00B37E2C">
            <w:r>
              <w:t>Articulated Truck (Diesel)</w:t>
            </w:r>
          </w:p>
        </w:tc>
        <w:tc>
          <w:tcPr>
            <w:tcW w:w="2795" w:type="pct"/>
            <w:vAlign w:val="center"/>
          </w:tcPr>
          <w:p w14:paraId="1BDD48CA" w14:textId="77C54A80" w:rsidR="00AB5CFB" w:rsidRDefault="00AB5CFB" w:rsidP="00B37E2C">
            <w:r>
              <w:t>BITRE 2011</w:t>
            </w:r>
            <w:r w:rsidR="00202BCB">
              <w:t xml:space="preserve">, Tables </w:t>
            </w:r>
            <w:r w:rsidR="00001E87">
              <w:t>6.6 and 11.9</w:t>
            </w:r>
            <w:r>
              <w:t xml:space="preserve"> and ABS SMVU</w:t>
            </w:r>
          </w:p>
        </w:tc>
      </w:tr>
      <w:tr w:rsidR="00AB5CFB" w14:paraId="10BC1D73" w14:textId="77777777" w:rsidTr="00177029">
        <w:trPr>
          <w:trHeight w:val="397"/>
        </w:trPr>
        <w:tc>
          <w:tcPr>
            <w:tcW w:w="5000" w:type="pct"/>
            <w:gridSpan w:val="2"/>
            <w:shd w:val="clear" w:color="auto" w:fill="D0CECE" w:themeFill="background2" w:themeFillShade="E6"/>
            <w:vAlign w:val="center"/>
          </w:tcPr>
          <w:p w14:paraId="350DAF6B" w14:textId="1730E94C" w:rsidR="00AB5CFB" w:rsidRDefault="00AB5CFB" w:rsidP="00B37E2C">
            <w:r>
              <w:rPr>
                <w:b/>
                <w:bCs/>
              </w:rPr>
              <w:t xml:space="preserve">Section </w:t>
            </w:r>
            <w:r w:rsidR="00786D69">
              <w:rPr>
                <w:b/>
                <w:bCs/>
              </w:rPr>
              <w:t>B</w:t>
            </w:r>
            <w:r>
              <w:rPr>
                <w:b/>
                <w:bCs/>
              </w:rPr>
              <w:t xml:space="preserve"> – Transport via truck (ISO fluid container on </w:t>
            </w:r>
            <w:r w:rsidR="00E42FB6">
              <w:rPr>
                <w:b/>
                <w:bCs/>
              </w:rPr>
              <w:t>flatbed</w:t>
            </w:r>
            <w:r>
              <w:rPr>
                <w:b/>
                <w:bCs/>
              </w:rPr>
              <w:t xml:space="preserve"> trailer) </w:t>
            </w:r>
          </w:p>
        </w:tc>
      </w:tr>
      <w:tr w:rsidR="00AB5CFB" w14:paraId="04702DDE" w14:textId="77777777" w:rsidTr="00177029">
        <w:trPr>
          <w:trHeight w:val="397"/>
        </w:trPr>
        <w:tc>
          <w:tcPr>
            <w:tcW w:w="2205" w:type="pct"/>
            <w:vAlign w:val="center"/>
          </w:tcPr>
          <w:p w14:paraId="1BC272B6" w14:textId="77777777" w:rsidR="00AB5CFB" w:rsidRDefault="00AB5CFB" w:rsidP="00B37E2C">
            <w:r>
              <w:t>Articulated Truck (Diesel)</w:t>
            </w:r>
          </w:p>
        </w:tc>
        <w:tc>
          <w:tcPr>
            <w:tcW w:w="2795" w:type="pct"/>
            <w:vAlign w:val="center"/>
          </w:tcPr>
          <w:p w14:paraId="0DB770DC" w14:textId="5BB241B0" w:rsidR="00AB5CFB" w:rsidRDefault="00AB5CFB" w:rsidP="00B37E2C">
            <w:r>
              <w:t>BITRE 2011</w:t>
            </w:r>
            <w:r w:rsidR="006A6871">
              <w:t>, Tables 6.6 and 11.9</w:t>
            </w:r>
            <w:r>
              <w:t xml:space="preserve"> and ABS SMVU</w:t>
            </w:r>
          </w:p>
        </w:tc>
      </w:tr>
      <w:tr w:rsidR="00AB5CFB" w14:paraId="154B0B2B" w14:textId="77777777" w:rsidTr="00177029">
        <w:trPr>
          <w:trHeight w:val="397"/>
        </w:trPr>
        <w:tc>
          <w:tcPr>
            <w:tcW w:w="5000" w:type="pct"/>
            <w:gridSpan w:val="2"/>
            <w:shd w:val="clear" w:color="auto" w:fill="D0CECE" w:themeFill="background2" w:themeFillShade="E6"/>
            <w:vAlign w:val="center"/>
          </w:tcPr>
          <w:p w14:paraId="5E9C6175" w14:textId="1504D49C" w:rsidR="00AB5CFB" w:rsidRDefault="00AB5CFB" w:rsidP="00B37E2C">
            <w:r>
              <w:rPr>
                <w:b/>
                <w:bCs/>
              </w:rPr>
              <w:t xml:space="preserve">Section </w:t>
            </w:r>
            <w:r w:rsidR="00786D69">
              <w:rPr>
                <w:b/>
                <w:bCs/>
              </w:rPr>
              <w:t>C</w:t>
            </w:r>
            <w:r>
              <w:rPr>
                <w:b/>
                <w:bCs/>
              </w:rPr>
              <w:t xml:space="preserve"> – Transport via truck (Gas cylinder trucks) </w:t>
            </w:r>
          </w:p>
        </w:tc>
      </w:tr>
      <w:tr w:rsidR="00AB5CFB" w14:paraId="604F75E9" w14:textId="77777777" w:rsidTr="00070522">
        <w:trPr>
          <w:trHeight w:val="397"/>
        </w:trPr>
        <w:tc>
          <w:tcPr>
            <w:tcW w:w="2205" w:type="pct"/>
            <w:vAlign w:val="center"/>
          </w:tcPr>
          <w:p w14:paraId="7AF81D6D" w14:textId="77777777" w:rsidR="00AB5CFB" w:rsidRDefault="00AB5CFB" w:rsidP="00B37E2C">
            <w:r>
              <w:t>Rigid Truck (Diesel)</w:t>
            </w:r>
          </w:p>
        </w:tc>
        <w:tc>
          <w:tcPr>
            <w:tcW w:w="2795" w:type="pct"/>
          </w:tcPr>
          <w:p w14:paraId="1B8DD044" w14:textId="59EAA748" w:rsidR="00AB5CFB" w:rsidRDefault="00AB5CFB" w:rsidP="00B37E2C">
            <w:r w:rsidRPr="00B20289">
              <w:t>BITRE 2011</w:t>
            </w:r>
            <w:r w:rsidR="006A6871" w:rsidRPr="004511A5">
              <w:t>, Tables 6.6 and 11.9</w:t>
            </w:r>
            <w:r w:rsidRPr="00B20289">
              <w:t xml:space="preserve"> and ABS SMVU</w:t>
            </w:r>
          </w:p>
        </w:tc>
      </w:tr>
      <w:tr w:rsidR="00AB5CFB" w14:paraId="40E1FF35" w14:textId="77777777" w:rsidTr="00070522">
        <w:trPr>
          <w:trHeight w:val="397"/>
        </w:trPr>
        <w:tc>
          <w:tcPr>
            <w:tcW w:w="2205" w:type="pct"/>
            <w:vAlign w:val="center"/>
          </w:tcPr>
          <w:p w14:paraId="636B6028" w14:textId="5764DF16" w:rsidR="00AB5CFB" w:rsidRDefault="00AB5CFB" w:rsidP="00B37E2C">
            <w:r>
              <w:t>Rigid Truck</w:t>
            </w:r>
            <w:r w:rsidR="01560A7F">
              <w:t xml:space="preserve">- </w:t>
            </w:r>
            <w:r w:rsidR="01560A7F" w:rsidRPr="669A5B53">
              <w:rPr>
                <w:rFonts w:eastAsiaTheme="minorEastAsia"/>
              </w:rPr>
              <w:t>Liquefied petroleum gas</w:t>
            </w:r>
            <w:r w:rsidRPr="33708CAC">
              <w:rPr>
                <w:rFonts w:eastAsiaTheme="minorEastAsia"/>
              </w:rPr>
              <w:t xml:space="preserve"> </w:t>
            </w:r>
            <w:r w:rsidR="01560A7F" w:rsidRPr="08754C4F">
              <w:rPr>
                <w:rFonts w:eastAsiaTheme="minorEastAsia"/>
              </w:rPr>
              <w:t>(</w:t>
            </w:r>
            <w:r>
              <w:t>LPG)</w:t>
            </w:r>
          </w:p>
        </w:tc>
        <w:tc>
          <w:tcPr>
            <w:tcW w:w="2795" w:type="pct"/>
          </w:tcPr>
          <w:p w14:paraId="2954C9AE" w14:textId="68D60C84" w:rsidR="00AB5CFB" w:rsidRDefault="00AB5CFB" w:rsidP="00B37E2C">
            <w:r w:rsidRPr="00B20289">
              <w:t>BITRE 2011</w:t>
            </w:r>
            <w:r w:rsidR="006A6871" w:rsidRPr="004511A5">
              <w:t>, Tables 6.6 and 11.9</w:t>
            </w:r>
            <w:r w:rsidRPr="00B20289">
              <w:t xml:space="preserve"> and ABS SMVU</w:t>
            </w:r>
          </w:p>
        </w:tc>
      </w:tr>
      <w:tr w:rsidR="00AB5CFB" w14:paraId="17FA9D35" w14:textId="77777777" w:rsidTr="00070522">
        <w:trPr>
          <w:trHeight w:val="397"/>
        </w:trPr>
        <w:tc>
          <w:tcPr>
            <w:tcW w:w="2205" w:type="pct"/>
            <w:vAlign w:val="center"/>
          </w:tcPr>
          <w:p w14:paraId="39086C4C" w14:textId="77777777" w:rsidR="00AB5CFB" w:rsidRDefault="00AB5CFB" w:rsidP="00B37E2C">
            <w:r>
              <w:t>Rigid Truck (Petrol)</w:t>
            </w:r>
          </w:p>
        </w:tc>
        <w:tc>
          <w:tcPr>
            <w:tcW w:w="2795" w:type="pct"/>
          </w:tcPr>
          <w:p w14:paraId="132F637F" w14:textId="1C779CA6" w:rsidR="00AB5CFB" w:rsidRDefault="00AB5CFB" w:rsidP="00B37E2C">
            <w:r w:rsidRPr="00B20289">
              <w:t>BITRE 2011</w:t>
            </w:r>
            <w:r w:rsidR="006A6871" w:rsidRPr="004511A5">
              <w:t>, Tables 6.6 and 11.9</w:t>
            </w:r>
            <w:r w:rsidRPr="00B20289">
              <w:t xml:space="preserve"> and ABS SMVU</w:t>
            </w:r>
          </w:p>
        </w:tc>
      </w:tr>
      <w:tr w:rsidR="00AB5CFB" w14:paraId="7C22674B" w14:textId="77777777" w:rsidTr="00070522">
        <w:trPr>
          <w:trHeight w:val="397"/>
        </w:trPr>
        <w:tc>
          <w:tcPr>
            <w:tcW w:w="2205" w:type="pct"/>
            <w:vAlign w:val="center"/>
          </w:tcPr>
          <w:p w14:paraId="046DA771" w14:textId="77777777" w:rsidR="00AB5CFB" w:rsidRDefault="00AB5CFB" w:rsidP="00B37E2C">
            <w:r>
              <w:t>Light Commercial (Diesel)</w:t>
            </w:r>
          </w:p>
        </w:tc>
        <w:tc>
          <w:tcPr>
            <w:tcW w:w="2795" w:type="pct"/>
          </w:tcPr>
          <w:p w14:paraId="7DBD3B77" w14:textId="1967D9EF" w:rsidR="00AB5CFB" w:rsidRDefault="00AB5CFB" w:rsidP="00B37E2C">
            <w:r w:rsidRPr="00B20289">
              <w:t>BITRE 2011</w:t>
            </w:r>
            <w:r w:rsidR="006A6871" w:rsidRPr="004511A5">
              <w:t>, Tables 6.6 and 11.9</w:t>
            </w:r>
            <w:r w:rsidRPr="00B20289">
              <w:t xml:space="preserve"> and ABS SMVU</w:t>
            </w:r>
          </w:p>
        </w:tc>
      </w:tr>
      <w:tr w:rsidR="00AB5CFB" w14:paraId="45883C93" w14:textId="77777777" w:rsidTr="00070522">
        <w:trPr>
          <w:trHeight w:val="397"/>
        </w:trPr>
        <w:tc>
          <w:tcPr>
            <w:tcW w:w="2205" w:type="pct"/>
            <w:vAlign w:val="center"/>
          </w:tcPr>
          <w:p w14:paraId="4EE1963E" w14:textId="77777777" w:rsidR="00AB5CFB" w:rsidRDefault="00AB5CFB" w:rsidP="00B37E2C">
            <w:r>
              <w:t>Light Commercial (LPG)</w:t>
            </w:r>
          </w:p>
        </w:tc>
        <w:tc>
          <w:tcPr>
            <w:tcW w:w="2795" w:type="pct"/>
          </w:tcPr>
          <w:p w14:paraId="3F4D94E0" w14:textId="3356B8EC" w:rsidR="00AB5CFB" w:rsidRDefault="00AB5CFB" w:rsidP="00B37E2C">
            <w:r w:rsidRPr="00B20289">
              <w:t>BITRE 2011</w:t>
            </w:r>
            <w:r w:rsidR="006A6871" w:rsidRPr="004511A5">
              <w:t>, Tables 6.6 and 11.9</w:t>
            </w:r>
            <w:r w:rsidRPr="00B20289">
              <w:t xml:space="preserve"> and ABS SMVU</w:t>
            </w:r>
          </w:p>
        </w:tc>
      </w:tr>
      <w:tr w:rsidR="00AB5CFB" w14:paraId="5A0D5786" w14:textId="77777777" w:rsidTr="00070522">
        <w:trPr>
          <w:trHeight w:val="397"/>
        </w:trPr>
        <w:tc>
          <w:tcPr>
            <w:tcW w:w="2205" w:type="pct"/>
            <w:vAlign w:val="center"/>
          </w:tcPr>
          <w:p w14:paraId="1688AAEC" w14:textId="77777777" w:rsidR="00AB5CFB" w:rsidRDefault="00AB5CFB" w:rsidP="00B37E2C">
            <w:r>
              <w:t>Light Commercial (Petrol)</w:t>
            </w:r>
          </w:p>
        </w:tc>
        <w:tc>
          <w:tcPr>
            <w:tcW w:w="2795" w:type="pct"/>
          </w:tcPr>
          <w:p w14:paraId="1411D935" w14:textId="3FF61521" w:rsidR="00AB5CFB" w:rsidRDefault="00AB5CFB" w:rsidP="00B37E2C">
            <w:r w:rsidRPr="00B20289">
              <w:t>BITRE 2011</w:t>
            </w:r>
            <w:r w:rsidR="006A6871" w:rsidRPr="004511A5">
              <w:t>, Tables 6.6 and 11.9</w:t>
            </w:r>
            <w:r w:rsidRPr="00B20289">
              <w:t xml:space="preserve"> and ABS SMVU</w:t>
            </w:r>
          </w:p>
        </w:tc>
      </w:tr>
    </w:tbl>
    <w:p w14:paraId="14A047FA" w14:textId="77777777" w:rsidR="003E70B5" w:rsidRDefault="003E70B5" w:rsidP="003E70B5">
      <w:pPr>
        <w:rPr>
          <w:rFonts w:asciiTheme="majorHAnsi" w:eastAsiaTheme="majorEastAsia" w:hAnsiTheme="majorHAnsi" w:cstheme="majorBidi"/>
          <w:color w:val="44546A"/>
          <w:sz w:val="40"/>
          <w:szCs w:val="48"/>
        </w:rPr>
      </w:pPr>
      <w:r>
        <w:br w:type="page"/>
      </w:r>
    </w:p>
    <w:p w14:paraId="02C1D1A5" w14:textId="341D194D" w:rsidR="004007AC" w:rsidRDefault="004007AC" w:rsidP="00D713DB">
      <w:pPr>
        <w:pStyle w:val="Heading2"/>
        <w:spacing w:before="360"/>
      </w:pPr>
      <w:bookmarkStart w:id="188" w:name="_Toc146029801"/>
      <w:r>
        <w:t>Co-product allocation</w:t>
      </w:r>
      <w:r w:rsidR="00F62F53">
        <w:t xml:space="preserve"> values</w:t>
      </w:r>
      <w:bookmarkEnd w:id="188"/>
    </w:p>
    <w:p w14:paraId="7AFE6867" w14:textId="4B406C00" w:rsidR="004007AC" w:rsidRPr="00880DE6" w:rsidRDefault="00672684" w:rsidP="004007AC">
      <w:bookmarkStart w:id="189" w:name="_Ref130915038"/>
      <w:r>
        <w:t xml:space="preserve">The measurement of outputs and approach to conversion factors is outlined in the measurement guidance section above. </w:t>
      </w:r>
      <w:r w:rsidR="00BF1C4C">
        <w:t xml:space="preserve">The additional data that will need to be sourced to support co-product allocations </w:t>
      </w:r>
      <w:r w:rsidR="00421AB5">
        <w:t xml:space="preserve">are </w:t>
      </w:r>
      <w:r w:rsidR="00BF1C4C">
        <w:t xml:space="preserve">an energy content conversion factor and economic value. The approach to co-product allocations also requires evidence that the </w:t>
      </w:r>
      <w:r w:rsidR="00972CD8">
        <w:t xml:space="preserve">co-products have actually been sold to be utilised. </w:t>
      </w:r>
    </w:p>
    <w:p w14:paraId="3B72A27E" w14:textId="77777777" w:rsidR="004007AC" w:rsidRDefault="004007AC" w:rsidP="00E07BA3">
      <w:pPr>
        <w:pStyle w:val="Heading3"/>
        <w:spacing w:before="200"/>
      </w:pPr>
      <w:bookmarkStart w:id="190" w:name="_Ref130914948"/>
      <w:bookmarkEnd w:id="189"/>
      <w:r>
        <w:t>Energy content</w:t>
      </w:r>
      <w:bookmarkEnd w:id="190"/>
    </w:p>
    <w:p w14:paraId="6ED973F9" w14:textId="2865CD91" w:rsidR="004007AC" w:rsidRDefault="000A7A8F" w:rsidP="3CFC4445">
      <w:r>
        <w:t>This method requires knowledge of the</w:t>
      </w:r>
      <w:r w:rsidR="004007AC">
        <w:t xml:space="preserve"> proportion of fuel/energy input into the process that is attributed to the co</w:t>
      </w:r>
      <w:r w:rsidR="000071A5">
        <w:t>-</w:t>
      </w:r>
      <w:r w:rsidR="004007AC">
        <w:t xml:space="preserve">product. </w:t>
      </w:r>
      <w:r w:rsidR="00143ACD">
        <w:t xml:space="preserve">For this it is required to </w:t>
      </w:r>
      <w:r w:rsidR="004007AC">
        <w:t xml:space="preserve">know the </w:t>
      </w:r>
      <w:r w:rsidR="00143ACD">
        <w:t xml:space="preserve">underlying </w:t>
      </w:r>
      <w:r w:rsidR="004007AC">
        <w:t>chemistry</w:t>
      </w:r>
      <w:r w:rsidR="00A505D1">
        <w:t xml:space="preserve"> and </w:t>
      </w:r>
      <w:r w:rsidR="004007AC">
        <w:t>process for each</w:t>
      </w:r>
      <w:r w:rsidR="008B1F24">
        <w:t xml:space="preserve"> step</w:t>
      </w:r>
      <w:r w:rsidR="004007AC">
        <w:t xml:space="preserve">, </w:t>
      </w:r>
      <w:r w:rsidR="00567C1D">
        <w:t>including</w:t>
      </w:r>
      <w:r w:rsidR="004007AC">
        <w:t xml:space="preserve"> upstream </w:t>
      </w:r>
      <w:r w:rsidR="00D977D1">
        <w:t xml:space="preserve">emissions factors </w:t>
      </w:r>
      <w:r w:rsidR="004007AC">
        <w:t xml:space="preserve">for </w:t>
      </w:r>
      <w:r w:rsidR="005C49C1">
        <w:t xml:space="preserve">substantial </w:t>
      </w:r>
      <w:r w:rsidR="00567C1D">
        <w:t>c</w:t>
      </w:r>
      <w:r w:rsidR="004007AC">
        <w:t>hemical inputs</w:t>
      </w:r>
      <w:r w:rsidR="007418C4">
        <w:t xml:space="preserve">. </w:t>
      </w:r>
    </w:p>
    <w:p w14:paraId="37D09F0E" w14:textId="14640F8F" w:rsidR="004007AC" w:rsidRDefault="007418C4" w:rsidP="3CFC4445">
      <w:r>
        <w:t>Outside of the guidance outlined in NGER for allocation</w:t>
      </w:r>
      <w:r w:rsidR="003A6D48">
        <w:t xml:space="preserve"> </w:t>
      </w:r>
      <w:r w:rsidR="00942F32">
        <w:t xml:space="preserve">the </w:t>
      </w:r>
      <w:r w:rsidR="00637709">
        <w:t xml:space="preserve">case specific methods </w:t>
      </w:r>
      <w:r w:rsidR="00716160">
        <w:t>will be participant le</w:t>
      </w:r>
      <w:r w:rsidR="00F54CC6">
        <w:t>d</w:t>
      </w:r>
      <w:r w:rsidR="00904C72">
        <w:t xml:space="preserve"> to at least a minimal set of rules. </w:t>
      </w:r>
      <w:r w:rsidR="00E66C90">
        <w:t xml:space="preserve">Energy content allocation is generally completed on a lower </w:t>
      </w:r>
      <w:r w:rsidR="00383A65">
        <w:t>heating</w:t>
      </w:r>
      <w:r w:rsidR="00E66C90">
        <w:t xml:space="preserve"> v</w:t>
      </w:r>
      <w:r w:rsidR="003C2717">
        <w:t>alue</w:t>
      </w:r>
      <w:r w:rsidR="00D47BB6">
        <w:t xml:space="preserve"> basis </w:t>
      </w:r>
      <w:r w:rsidR="0077710E">
        <w:t>where applicable</w:t>
      </w:r>
      <w:r w:rsidR="00992F99">
        <w:t>;</w:t>
      </w:r>
      <w:r w:rsidR="006E2176">
        <w:t xml:space="preserve"> the basis will be required to be stated</w:t>
      </w:r>
      <w:r w:rsidR="00383A65">
        <w:t xml:space="preserve"> (where not the lower heating value)</w:t>
      </w:r>
      <w:r w:rsidR="00D47BB6">
        <w:t>.</w:t>
      </w:r>
    </w:p>
    <w:p w14:paraId="6C24A243" w14:textId="77777777" w:rsidR="00DA18B8" w:rsidRDefault="00DA18B8" w:rsidP="00E07BA3">
      <w:pPr>
        <w:pStyle w:val="Heading3"/>
        <w:spacing w:before="200"/>
      </w:pPr>
      <w:bookmarkStart w:id="191" w:name="_Ref130915000"/>
      <w:r>
        <w:t>System Expansion with Displacement</w:t>
      </w:r>
    </w:p>
    <w:p w14:paraId="32E9503B" w14:textId="6F197828" w:rsidR="00105716" w:rsidRDefault="000445D5" w:rsidP="00DA18B8">
      <w:r>
        <w:t xml:space="preserve">This method </w:t>
      </w:r>
      <w:r w:rsidR="008902E6">
        <w:t>requires substantial knowledge</w:t>
      </w:r>
      <w:r w:rsidR="00F5468C">
        <w:t xml:space="preserve"> of </w:t>
      </w:r>
      <w:r w:rsidR="00B81992">
        <w:t>alternative methods to produce the co-product which is being excluded, such as how oxygen is produced at scale.</w:t>
      </w:r>
      <w:r w:rsidR="003A1E89">
        <w:t xml:space="preserve"> </w:t>
      </w:r>
      <w:r w:rsidR="000F513D">
        <w:t xml:space="preserve">Using the emissions intensity of </w:t>
      </w:r>
      <w:r w:rsidR="0047799C">
        <w:t>an industry standard process</w:t>
      </w:r>
      <w:r w:rsidR="0019210B">
        <w:t xml:space="preserve"> </w:t>
      </w:r>
      <w:r w:rsidR="009F460E">
        <w:t>may be</w:t>
      </w:r>
      <w:r w:rsidR="00EC7180">
        <w:t xml:space="preserve"> used as a displac</w:t>
      </w:r>
      <w:r w:rsidR="00E319DC">
        <w:t>ed emissions</w:t>
      </w:r>
      <w:r w:rsidR="00EC7180">
        <w:t xml:space="preserve"> </w:t>
      </w:r>
      <w:r w:rsidR="00E319DC">
        <w:t>method.</w:t>
      </w:r>
      <w:r w:rsidR="00D317F7">
        <w:t xml:space="preserve"> Some consideration around limitations and applicability are required to prevent </w:t>
      </w:r>
      <w:r w:rsidR="00882D88">
        <w:t>double counting and over</w:t>
      </w:r>
      <w:r w:rsidR="00567922">
        <w:t>-</w:t>
      </w:r>
      <w:r w:rsidR="00882D88">
        <w:t>allocation potential</w:t>
      </w:r>
      <w:r w:rsidR="00367D2B">
        <w:t>, noting that displacement hard to account as a continuous activity.</w:t>
      </w:r>
    </w:p>
    <w:p w14:paraId="37B7E453" w14:textId="28FB0D8A" w:rsidR="00DA18B8" w:rsidRPr="00DA18B8" w:rsidRDefault="00D34E41" w:rsidP="3CFC4445">
      <w:r>
        <w:t>Questions remain around how this deduction may be applied multiple times (displacement at production, and displacement at consumption)</w:t>
      </w:r>
      <w:r w:rsidR="000C5469">
        <w:t>, and how to prevent double counting</w:t>
      </w:r>
      <w:r w:rsidR="003C635C">
        <w:t xml:space="preserve"> where not </w:t>
      </w:r>
      <w:r w:rsidR="000D14B3">
        <w:t>using certificates</w:t>
      </w:r>
      <w:r w:rsidR="00BC1480">
        <w:t xml:space="preserve"> to track, or where the consumer is not r</w:t>
      </w:r>
      <w:r w:rsidR="003C635C">
        <w:t>egulated</w:t>
      </w:r>
      <w:r w:rsidR="000C5469">
        <w:t>.</w:t>
      </w:r>
      <w:r w:rsidR="00166DEB">
        <w:t xml:space="preserve"> There is also a potential risk that the displacement may</w:t>
      </w:r>
      <w:r w:rsidR="00A950D2">
        <w:t xml:space="preserve"> result in an overallocation</w:t>
      </w:r>
      <w:r w:rsidR="00532D9C">
        <w:t xml:space="preserve"> and</w:t>
      </w:r>
      <w:r w:rsidR="002B217E">
        <w:t>, in some cases, the displacement is higher than the total emissions cost of production.</w:t>
      </w:r>
    </w:p>
    <w:p w14:paraId="2E194937" w14:textId="58025285" w:rsidR="004007AC" w:rsidRDefault="004007AC" w:rsidP="00E07BA3">
      <w:pPr>
        <w:pStyle w:val="Heading3"/>
        <w:spacing w:before="200"/>
      </w:pPr>
      <w:r>
        <w:t>Economic value</w:t>
      </w:r>
      <w:bookmarkEnd w:id="191"/>
    </w:p>
    <w:p w14:paraId="33E18189" w14:textId="77777777" w:rsidR="000A7A8F" w:rsidRPr="000A7A8F" w:rsidRDefault="79070665" w:rsidP="3CFC4445">
      <w:r>
        <w:t xml:space="preserve">Economic </w:t>
      </w:r>
      <w:r w:rsidR="3560963C">
        <w:t>allocation (</w:t>
      </w:r>
      <w:r w:rsidR="1D5A91C2">
        <w:t xml:space="preserve">based on either </w:t>
      </w:r>
      <w:r w:rsidR="203B34C1">
        <w:t>a cost or revenue basis) may be use</w:t>
      </w:r>
      <w:r w:rsidR="681871DC">
        <w:t>d</w:t>
      </w:r>
      <w:r w:rsidR="48AA0929">
        <w:t xml:space="preserve"> where </w:t>
      </w:r>
      <w:r w:rsidR="1F8951D6">
        <w:t xml:space="preserve">the </w:t>
      </w:r>
      <w:r w:rsidR="48AA0929">
        <w:t xml:space="preserve">energy </w:t>
      </w:r>
      <w:r w:rsidR="1F8951D6">
        <w:t xml:space="preserve">and </w:t>
      </w:r>
      <w:r w:rsidR="005E53A8">
        <w:t xml:space="preserve">displacement methods are not possible. </w:t>
      </w:r>
      <w:r w:rsidR="27778AF7">
        <w:t>T</w:t>
      </w:r>
      <w:r w:rsidR="71C67B76">
        <w:t xml:space="preserve">his method aligns closer with the default intention of operating the </w:t>
      </w:r>
      <w:r w:rsidR="07FF9596">
        <w:t>process but</w:t>
      </w:r>
      <w:r w:rsidR="2632902B">
        <w:t xml:space="preserve"> does not represent the</w:t>
      </w:r>
      <w:r w:rsidR="28CD0E58">
        <w:t xml:space="preserve"> physical caus</w:t>
      </w:r>
      <w:r w:rsidR="72A9935B">
        <w:t>alities of producing or purchasing a specified product.</w:t>
      </w:r>
      <w:r w:rsidR="500CF2AB">
        <w:t xml:space="preserve"> </w:t>
      </w:r>
      <w:r w:rsidR="3EC4ADF8">
        <w:t>Due to the potential fluctuation in pricing of traded commodities, it is likely that an upfront value setting is unlikely to be possible for this allocation method.</w:t>
      </w:r>
    </w:p>
    <w:p w14:paraId="03CA1D2D" w14:textId="1C098289" w:rsidR="00B6409F" w:rsidRDefault="00B6409F">
      <w:r>
        <w:br w:type="page"/>
      </w:r>
    </w:p>
    <w:p w14:paraId="6DD96538" w14:textId="45A91BB3" w:rsidR="6CA89900" w:rsidRDefault="6CA89900" w:rsidP="00BB357C">
      <w:pPr>
        <w:pStyle w:val="Heading2"/>
        <w:spacing w:before="360"/>
      </w:pPr>
      <w:bookmarkStart w:id="192" w:name="_Toc146029802"/>
      <w:r>
        <w:t xml:space="preserve">List of </w:t>
      </w:r>
      <w:r w:rsidR="00A466A9">
        <w:t xml:space="preserve">potentially </w:t>
      </w:r>
      <w:r>
        <w:t>relevant chemicals</w:t>
      </w:r>
      <w:bookmarkEnd w:id="192"/>
    </w:p>
    <w:p w14:paraId="112A0703" w14:textId="068237A7" w:rsidR="00E178A4" w:rsidRDefault="00A466A9" w:rsidP="00452A6C">
      <w:r>
        <w:t xml:space="preserve">There are a large number of potentially relevant chemicals that may </w:t>
      </w:r>
      <w:r w:rsidR="00B86A26">
        <w:t>be an input into the production process beyond those already covered under both NGER and National Inventory</w:t>
      </w:r>
      <w:r w:rsidR="000F751C">
        <w:t xml:space="preserve"> as outlined above</w:t>
      </w:r>
      <w:r w:rsidR="00B86A26">
        <w:t xml:space="preserve">. </w:t>
      </w:r>
      <w:r w:rsidR="00BF225E">
        <w:t>This list of potentially relevant chemicals is listed in the table below</w:t>
      </w:r>
      <w:r w:rsidR="00136825">
        <w:t>,</w:t>
      </w:r>
      <w:r w:rsidR="00BF225E">
        <w:t xml:space="preserve"> </w:t>
      </w:r>
      <w:r w:rsidR="00136825">
        <w:t>and while it looks expansive the</w:t>
      </w:r>
      <w:r w:rsidR="00313773">
        <w:t xml:space="preserve"> majority of emissions related to the import of these goods are un</w:t>
      </w:r>
      <w:r w:rsidR="006F118C">
        <w:t xml:space="preserve">likely to meet the materiality threshold for the GO scheme. </w:t>
      </w:r>
      <w:r w:rsidR="006D1987">
        <w:t>The chemical use and import will be req</w:t>
      </w:r>
      <w:r w:rsidR="006807C2">
        <w:t xml:space="preserve">uired to be reported up-front, even if the emissions are not included in the emissions intensity calculations. </w:t>
      </w:r>
    </w:p>
    <w:p w14:paraId="0866474F" w14:textId="54B4A3D2" w:rsidR="002005B1" w:rsidRDefault="002005B1" w:rsidP="002005B1">
      <w:pPr>
        <w:pStyle w:val="Table"/>
        <w:keepNext/>
        <w:spacing w:before="200"/>
      </w:pPr>
      <w:r>
        <w:t xml:space="preserve">Table </w:t>
      </w:r>
      <w:r w:rsidR="008941FC">
        <w:t>4.7</w:t>
      </w:r>
      <w:r>
        <w:t xml:space="preserve"> </w:t>
      </w:r>
      <w:r w:rsidR="004B4545">
        <w:t>Potentia</w:t>
      </w:r>
      <w:r w:rsidR="00C67FFC">
        <w:t>lly relevant chemicals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9"/>
        <w:gridCol w:w="5587"/>
      </w:tblGrid>
      <w:tr w:rsidR="00131163" w:rsidRPr="00DE7A50" w14:paraId="38116BA6" w14:textId="77777777" w:rsidTr="008E70CF">
        <w:trPr>
          <w:trHeight w:val="397"/>
        </w:trPr>
        <w:tc>
          <w:tcPr>
            <w:tcW w:w="1905" w:type="pct"/>
            <w:tcBorders>
              <w:top w:val="nil"/>
              <w:left w:val="nil"/>
              <w:bottom w:val="single" w:sz="18" w:space="0" w:color="ED7D31" w:themeColor="accent2"/>
              <w:right w:val="nil"/>
            </w:tcBorders>
            <w:shd w:val="clear" w:color="auto" w:fill="E8E8E8"/>
            <w:vAlign w:val="center"/>
            <w:hideMark/>
          </w:tcPr>
          <w:p w14:paraId="0C16744C" w14:textId="33C2C533" w:rsidR="00131163" w:rsidRPr="00DE7A50" w:rsidRDefault="006807C2" w:rsidP="00DE7A50">
            <w:pPr>
              <w:spacing w:after="0" w:line="240" w:lineRule="auto"/>
              <w:textAlignment w:val="baseline"/>
              <w:rPr>
                <w:rFonts w:eastAsia="Times New Roman" w:cstheme="minorHAnsi"/>
                <w:b/>
                <w:bCs/>
                <w:color w:val="000000"/>
                <w:lang w:eastAsia="en-AU"/>
              </w:rPr>
            </w:pPr>
            <w:r w:rsidRPr="00DE7A50">
              <w:rPr>
                <w:rFonts w:eastAsia="Times New Roman" w:cstheme="minorHAnsi"/>
                <w:b/>
                <w:bCs/>
                <w:color w:val="000000"/>
                <w:lang w:eastAsia="en-AU"/>
              </w:rPr>
              <w:t>Potentially relevant chemicals</w:t>
            </w:r>
          </w:p>
        </w:tc>
        <w:tc>
          <w:tcPr>
            <w:tcW w:w="3095" w:type="pct"/>
            <w:tcBorders>
              <w:top w:val="nil"/>
              <w:left w:val="nil"/>
              <w:bottom w:val="single" w:sz="18" w:space="0" w:color="ED7D31" w:themeColor="accent2"/>
              <w:right w:val="nil"/>
            </w:tcBorders>
            <w:shd w:val="clear" w:color="auto" w:fill="E8E8E8"/>
            <w:vAlign w:val="center"/>
            <w:hideMark/>
          </w:tcPr>
          <w:p w14:paraId="54783D7B" w14:textId="17872508" w:rsidR="00131163" w:rsidRPr="00DE7A50" w:rsidRDefault="006807C2" w:rsidP="00DE7A50">
            <w:pPr>
              <w:spacing w:after="0" w:line="240" w:lineRule="auto"/>
              <w:textAlignment w:val="baseline"/>
              <w:rPr>
                <w:rFonts w:eastAsia="Times New Roman" w:cstheme="minorHAnsi"/>
                <w:b/>
                <w:bCs/>
                <w:color w:val="000000"/>
                <w:lang w:eastAsia="en-AU"/>
              </w:rPr>
            </w:pPr>
            <w:r w:rsidRPr="00DE7A50">
              <w:rPr>
                <w:rFonts w:eastAsia="Times New Roman" w:cstheme="minorHAnsi"/>
                <w:b/>
                <w:bCs/>
                <w:color w:val="000000" w:themeColor="text1"/>
                <w:lang w:eastAsia="en-AU"/>
              </w:rPr>
              <w:t>Potential uses</w:t>
            </w:r>
          </w:p>
        </w:tc>
      </w:tr>
      <w:tr w:rsidR="00131163" w:rsidRPr="006D46AF" w14:paraId="044C2073" w14:textId="77777777" w:rsidTr="008E70CF">
        <w:trPr>
          <w:trHeight w:val="300"/>
        </w:trPr>
        <w:tc>
          <w:tcPr>
            <w:tcW w:w="1905" w:type="pct"/>
            <w:tcBorders>
              <w:top w:val="single" w:sz="18" w:space="0" w:color="ED7D31" w:themeColor="accent2"/>
              <w:left w:val="nil"/>
              <w:bottom w:val="single" w:sz="6" w:space="0" w:color="E8E8E8"/>
              <w:right w:val="nil"/>
            </w:tcBorders>
            <w:shd w:val="clear" w:color="auto" w:fill="F2F2F2" w:themeFill="background1" w:themeFillShade="F2"/>
            <w:hideMark/>
          </w:tcPr>
          <w:p w14:paraId="208782F9" w14:textId="77777777"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r w:rsidRPr="0CA60D5F">
              <w:rPr>
                <w:rFonts w:ascii="Calibri" w:eastAsia="Times New Roman" w:hAnsi="Calibri" w:cs="Calibri"/>
                <w:b/>
                <w:bCs/>
                <w:color w:val="000000" w:themeColor="text1"/>
                <w:lang w:eastAsia="en-AU"/>
              </w:rPr>
              <w:t>Sodium hydroxide </w:t>
            </w:r>
            <w:r w:rsidR="00131163">
              <w:br/>
            </w:r>
            <w:r w:rsidRPr="0CA60D5F">
              <w:rPr>
                <w:rFonts w:ascii="Calibri" w:eastAsia="Times New Roman" w:hAnsi="Calibri" w:cs="Calibri"/>
                <w:b/>
                <w:bCs/>
                <w:color w:val="000000" w:themeColor="text1"/>
                <w:lang w:eastAsia="en-AU"/>
              </w:rPr>
              <w:t>Potassium hydroxide </w:t>
            </w:r>
            <w:r w:rsidR="00131163">
              <w:br/>
            </w:r>
            <w:r w:rsidRPr="0CA60D5F">
              <w:rPr>
                <w:rFonts w:ascii="Calibri" w:eastAsia="Times New Roman" w:hAnsi="Calibri" w:cs="Calibri"/>
                <w:b/>
                <w:bCs/>
                <w:color w:val="000000" w:themeColor="text1"/>
                <w:lang w:eastAsia="en-AU"/>
              </w:rPr>
              <w:t>Hydrochloric acid </w:t>
            </w:r>
          </w:p>
        </w:tc>
        <w:tc>
          <w:tcPr>
            <w:tcW w:w="3095" w:type="pct"/>
            <w:tcBorders>
              <w:top w:val="single" w:sz="18" w:space="0" w:color="ED7D31" w:themeColor="accent2"/>
              <w:left w:val="nil"/>
              <w:bottom w:val="single" w:sz="6" w:space="0" w:color="E8E8E8"/>
              <w:right w:val="nil"/>
            </w:tcBorders>
            <w:shd w:val="clear" w:color="auto" w:fill="auto"/>
            <w:hideMark/>
          </w:tcPr>
          <w:p w14:paraId="09B856AA" w14:textId="31B38268" w:rsidR="00131163" w:rsidRPr="006D46AF" w:rsidRDefault="45AA3630" w:rsidP="006D46AF">
            <w:pPr>
              <w:spacing w:after="0" w:line="240" w:lineRule="auto"/>
              <w:textAlignment w:val="baseline"/>
              <w:rPr>
                <w:rFonts w:ascii="Segoe UI" w:eastAsia="Times New Roman" w:hAnsi="Segoe UI" w:cs="Segoe UI"/>
                <w:color w:val="000000"/>
                <w:sz w:val="18"/>
                <w:szCs w:val="18"/>
                <w:lang w:eastAsia="en-AU"/>
              </w:rPr>
            </w:pPr>
            <w:r w:rsidRPr="0CA60D5F">
              <w:rPr>
                <w:rFonts w:ascii="Calibri" w:eastAsia="Times New Roman" w:hAnsi="Calibri" w:cs="Calibri"/>
                <w:color w:val="000000" w:themeColor="text1"/>
                <w:lang w:eastAsia="en-AU"/>
              </w:rPr>
              <w:t>pH control (salt making)</w:t>
            </w:r>
            <w:r w:rsidR="00131163">
              <w:br/>
            </w:r>
            <w:r w:rsidRPr="0CA60D5F">
              <w:rPr>
                <w:rFonts w:ascii="Calibri" w:eastAsia="Times New Roman" w:hAnsi="Calibri" w:cs="Calibri"/>
                <w:color w:val="000000" w:themeColor="text1"/>
                <w:lang w:eastAsia="en-AU"/>
              </w:rPr>
              <w:t>- can also be used as a desulphurisation</w:t>
            </w:r>
          </w:p>
        </w:tc>
      </w:tr>
      <w:tr w:rsidR="00131163" w:rsidRPr="006D46AF" w14:paraId="1E600781" w14:textId="77777777" w:rsidTr="00177029">
        <w:trPr>
          <w:trHeight w:val="300"/>
        </w:trPr>
        <w:tc>
          <w:tcPr>
            <w:tcW w:w="1905" w:type="pct"/>
            <w:tcBorders>
              <w:top w:val="nil"/>
              <w:left w:val="nil"/>
              <w:bottom w:val="single" w:sz="6" w:space="0" w:color="D1D1D1"/>
              <w:right w:val="nil"/>
            </w:tcBorders>
            <w:shd w:val="clear" w:color="auto" w:fill="F2F2F2" w:themeFill="background1" w:themeFillShade="F2"/>
            <w:hideMark/>
          </w:tcPr>
          <w:p w14:paraId="77858C41" w14:textId="77777777"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r w:rsidRPr="0CA60D5F">
              <w:rPr>
                <w:rFonts w:ascii="Calibri" w:eastAsia="Times New Roman" w:hAnsi="Calibri" w:cs="Calibri"/>
                <w:b/>
                <w:bCs/>
                <w:color w:val="000000" w:themeColor="text1"/>
                <w:lang w:eastAsia="en-AU"/>
              </w:rPr>
              <w:t>Sodium carbonate </w:t>
            </w:r>
            <w:r w:rsidR="00131163">
              <w:br/>
            </w:r>
            <w:r w:rsidRPr="0CA60D5F">
              <w:rPr>
                <w:rFonts w:ascii="Calibri" w:eastAsia="Times New Roman" w:hAnsi="Calibri" w:cs="Calibri"/>
                <w:b/>
                <w:bCs/>
                <w:color w:val="000000" w:themeColor="text1"/>
                <w:lang w:eastAsia="en-AU"/>
              </w:rPr>
              <w:t>Sulphuric acid </w:t>
            </w:r>
          </w:p>
        </w:tc>
        <w:tc>
          <w:tcPr>
            <w:tcW w:w="3095" w:type="pct"/>
            <w:tcBorders>
              <w:top w:val="nil"/>
              <w:left w:val="nil"/>
              <w:bottom w:val="single" w:sz="6" w:space="0" w:color="D1D1D1"/>
              <w:right w:val="nil"/>
            </w:tcBorders>
            <w:shd w:val="clear" w:color="auto" w:fill="auto"/>
            <w:hideMark/>
          </w:tcPr>
          <w:p w14:paraId="59628775" w14:textId="59AC883E" w:rsidR="00131163" w:rsidRPr="006D46AF" w:rsidRDefault="45AA3630" w:rsidP="006D46AF">
            <w:pPr>
              <w:spacing w:after="0" w:line="240" w:lineRule="auto"/>
              <w:textAlignment w:val="baseline"/>
              <w:rPr>
                <w:rFonts w:ascii="Segoe UI" w:eastAsia="Times New Roman" w:hAnsi="Segoe UI" w:cs="Segoe UI"/>
                <w:color w:val="000000"/>
                <w:sz w:val="18"/>
                <w:szCs w:val="18"/>
                <w:lang w:eastAsia="en-AU"/>
              </w:rPr>
            </w:pPr>
            <w:r w:rsidRPr="0CA60D5F">
              <w:rPr>
                <w:rFonts w:ascii="Calibri" w:eastAsia="Times New Roman" w:hAnsi="Calibri" w:cs="Calibri"/>
                <w:color w:val="000000" w:themeColor="text1"/>
                <w:lang w:eastAsia="en-AU"/>
              </w:rPr>
              <w:t>pH control</w:t>
            </w:r>
          </w:p>
        </w:tc>
      </w:tr>
      <w:tr w:rsidR="00131163" w:rsidRPr="006D46AF" w14:paraId="3EF37DA1" w14:textId="77777777" w:rsidTr="00177029">
        <w:trPr>
          <w:trHeight w:val="300"/>
        </w:trPr>
        <w:tc>
          <w:tcPr>
            <w:tcW w:w="1905" w:type="pct"/>
            <w:tcBorders>
              <w:top w:val="single" w:sz="6" w:space="0" w:color="E8E8E8"/>
              <w:left w:val="nil"/>
              <w:bottom w:val="single" w:sz="6" w:space="0" w:color="E8E8E8"/>
              <w:right w:val="nil"/>
            </w:tcBorders>
            <w:shd w:val="clear" w:color="auto" w:fill="F2F2F2" w:themeFill="background1" w:themeFillShade="F2"/>
            <w:hideMark/>
          </w:tcPr>
          <w:p w14:paraId="650C96C9" w14:textId="77777777" w:rsidR="00131163" w:rsidRPr="00263EFA" w:rsidRDefault="45AA3630" w:rsidP="006D46AF">
            <w:pPr>
              <w:spacing w:after="0" w:line="240" w:lineRule="auto"/>
              <w:textAlignment w:val="baseline"/>
              <w:rPr>
                <w:rFonts w:ascii="Segoe UI" w:eastAsia="Times New Roman" w:hAnsi="Segoe UI" w:cs="Segoe UI"/>
                <w:b/>
                <w:color w:val="000000"/>
                <w:sz w:val="18"/>
                <w:szCs w:val="18"/>
                <w:lang w:val="de-DE" w:eastAsia="en-AU"/>
              </w:rPr>
            </w:pPr>
            <w:r w:rsidRPr="00263EFA">
              <w:rPr>
                <w:rFonts w:ascii="Calibri" w:eastAsia="Times New Roman" w:hAnsi="Calibri" w:cs="Calibri"/>
                <w:b/>
                <w:color w:val="000000" w:themeColor="text1"/>
                <w:lang w:val="de-DE" w:eastAsia="en-AU"/>
              </w:rPr>
              <w:t>Hydrogen peroxide </w:t>
            </w:r>
            <w:r w:rsidR="00131163" w:rsidRPr="00263EFA">
              <w:rPr>
                <w:lang w:val="de-DE"/>
              </w:rPr>
              <w:br/>
            </w:r>
            <w:r w:rsidRPr="00263EFA">
              <w:rPr>
                <w:rFonts w:ascii="Calibri" w:eastAsia="Times New Roman" w:hAnsi="Calibri" w:cs="Calibri"/>
                <w:b/>
                <w:color w:val="000000" w:themeColor="text1"/>
                <w:lang w:val="de-DE" w:eastAsia="en-AU"/>
              </w:rPr>
              <w:t>Chlorine gas </w:t>
            </w:r>
            <w:r w:rsidR="00131163" w:rsidRPr="00263EFA">
              <w:rPr>
                <w:lang w:val="de-DE"/>
              </w:rPr>
              <w:br/>
            </w:r>
            <w:r w:rsidRPr="00263EFA">
              <w:rPr>
                <w:rFonts w:ascii="Calibri" w:eastAsia="Times New Roman" w:hAnsi="Calibri" w:cs="Calibri"/>
                <w:b/>
                <w:color w:val="000000" w:themeColor="text1"/>
                <w:lang w:val="de-DE" w:eastAsia="en-AU"/>
              </w:rPr>
              <w:t>Sodium hypochlorite </w:t>
            </w:r>
            <w:r w:rsidR="00131163" w:rsidRPr="00263EFA">
              <w:rPr>
                <w:lang w:val="de-DE"/>
              </w:rPr>
              <w:br/>
            </w:r>
            <w:r w:rsidRPr="00263EFA">
              <w:rPr>
                <w:rFonts w:ascii="Calibri" w:eastAsia="Times New Roman" w:hAnsi="Calibri" w:cs="Calibri"/>
                <w:b/>
                <w:color w:val="000000" w:themeColor="text1"/>
                <w:lang w:val="de-DE" w:eastAsia="en-AU"/>
              </w:rPr>
              <w:t>potassium permanganate </w:t>
            </w:r>
          </w:p>
        </w:tc>
        <w:tc>
          <w:tcPr>
            <w:tcW w:w="3095" w:type="pct"/>
            <w:tcBorders>
              <w:top w:val="single" w:sz="6" w:space="0" w:color="E8E8E8"/>
              <w:left w:val="nil"/>
              <w:bottom w:val="single" w:sz="6" w:space="0" w:color="E8E8E8"/>
              <w:right w:val="nil"/>
            </w:tcBorders>
            <w:shd w:val="clear" w:color="auto" w:fill="auto"/>
            <w:hideMark/>
          </w:tcPr>
          <w:p w14:paraId="2F017C54" w14:textId="3DF27B71" w:rsidR="00131163" w:rsidRPr="006D46AF" w:rsidRDefault="45AA3630" w:rsidP="006D46AF">
            <w:pPr>
              <w:spacing w:after="0" w:line="240" w:lineRule="auto"/>
              <w:textAlignment w:val="baseline"/>
              <w:rPr>
                <w:rFonts w:ascii="Segoe UI" w:eastAsia="Times New Roman" w:hAnsi="Segoe UI" w:cs="Segoe UI"/>
                <w:color w:val="000000"/>
                <w:sz w:val="18"/>
                <w:szCs w:val="18"/>
                <w:lang w:eastAsia="en-AU"/>
              </w:rPr>
            </w:pPr>
            <w:r w:rsidRPr="0CA60D5F">
              <w:rPr>
                <w:rFonts w:ascii="Calibri" w:eastAsia="Times New Roman" w:hAnsi="Calibri" w:cs="Calibri"/>
                <w:color w:val="000000" w:themeColor="text1"/>
                <w:lang w:eastAsia="en-AU"/>
              </w:rPr>
              <w:t>Water treatment</w:t>
            </w:r>
            <w:r w:rsidR="00131163">
              <w:br/>
            </w:r>
            <w:r w:rsidRPr="0CA60D5F">
              <w:rPr>
                <w:rFonts w:ascii="Calibri" w:eastAsia="Times New Roman" w:hAnsi="Calibri" w:cs="Calibri"/>
                <w:color w:val="000000" w:themeColor="text1"/>
                <w:lang w:eastAsia="en-AU"/>
              </w:rPr>
              <w:t>including disinfection</w:t>
            </w:r>
            <w:r w:rsidR="00131163">
              <w:br/>
            </w:r>
            <w:r w:rsidRPr="0CA60D5F">
              <w:rPr>
                <w:rFonts w:ascii="Calibri" w:eastAsia="Times New Roman" w:hAnsi="Calibri" w:cs="Calibri"/>
                <w:color w:val="000000" w:themeColor="text1"/>
                <w:lang w:eastAsia="en-AU"/>
              </w:rPr>
              <w:t>Steam/condensate conditioning</w:t>
            </w:r>
          </w:p>
        </w:tc>
      </w:tr>
      <w:tr w:rsidR="00131163" w:rsidRPr="006D46AF" w14:paraId="1CC12F02" w14:textId="77777777" w:rsidTr="00177029">
        <w:trPr>
          <w:trHeight w:val="300"/>
        </w:trPr>
        <w:tc>
          <w:tcPr>
            <w:tcW w:w="1905" w:type="pct"/>
            <w:tcBorders>
              <w:top w:val="nil"/>
              <w:left w:val="nil"/>
              <w:bottom w:val="single" w:sz="6" w:space="0" w:color="D1D1D1"/>
              <w:right w:val="nil"/>
            </w:tcBorders>
            <w:shd w:val="clear" w:color="auto" w:fill="F2F2F2" w:themeFill="background1" w:themeFillShade="F2"/>
            <w:hideMark/>
          </w:tcPr>
          <w:p w14:paraId="1E274CB4" w14:textId="77777777"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r w:rsidRPr="0CA60D5F">
              <w:rPr>
                <w:rFonts w:ascii="Calibri" w:eastAsia="Times New Roman" w:hAnsi="Calibri" w:cs="Calibri"/>
                <w:b/>
                <w:bCs/>
                <w:color w:val="000000" w:themeColor="text1"/>
                <w:lang w:eastAsia="en-AU"/>
              </w:rPr>
              <w:t>Membrane Resins, ionic resins, </w:t>
            </w:r>
            <w:r w:rsidR="00131163">
              <w:br/>
            </w:r>
            <w:r w:rsidRPr="0CA60D5F">
              <w:rPr>
                <w:rFonts w:ascii="Calibri" w:eastAsia="Times New Roman" w:hAnsi="Calibri" w:cs="Calibri"/>
                <w:b/>
                <w:bCs/>
                <w:color w:val="000000" w:themeColor="text1"/>
                <w:lang w:eastAsia="en-AU"/>
              </w:rPr>
              <w:t>Regenerative materials (Zeolites) </w:t>
            </w:r>
            <w:r w:rsidR="00131163">
              <w:br/>
            </w:r>
            <w:r w:rsidRPr="0CA60D5F">
              <w:rPr>
                <w:rFonts w:ascii="Calibri" w:eastAsia="Times New Roman" w:hAnsi="Calibri" w:cs="Calibri"/>
                <w:b/>
                <w:bCs/>
                <w:color w:val="000000" w:themeColor="text1"/>
                <w:lang w:eastAsia="en-AU"/>
              </w:rPr>
              <w:t>Cyclic fluids (MEA/MDEA) </w:t>
            </w:r>
          </w:p>
        </w:tc>
        <w:tc>
          <w:tcPr>
            <w:tcW w:w="3095" w:type="pct"/>
            <w:tcBorders>
              <w:top w:val="nil"/>
              <w:left w:val="nil"/>
              <w:bottom w:val="single" w:sz="6" w:space="0" w:color="D1D1D1"/>
              <w:right w:val="nil"/>
            </w:tcBorders>
            <w:shd w:val="clear" w:color="auto" w:fill="auto"/>
            <w:hideMark/>
          </w:tcPr>
          <w:p w14:paraId="64B6463E" w14:textId="313887CB" w:rsidR="00131163" w:rsidRPr="006D46AF" w:rsidRDefault="45AA3630" w:rsidP="006D46AF">
            <w:pPr>
              <w:spacing w:after="0" w:line="240" w:lineRule="auto"/>
              <w:textAlignment w:val="baseline"/>
              <w:rPr>
                <w:rFonts w:ascii="Segoe UI" w:eastAsia="Times New Roman" w:hAnsi="Segoe UI" w:cs="Segoe UI"/>
                <w:color w:val="000000"/>
                <w:sz w:val="18"/>
                <w:szCs w:val="18"/>
                <w:lang w:eastAsia="en-AU"/>
              </w:rPr>
            </w:pPr>
            <w:r w:rsidRPr="0CA60D5F">
              <w:rPr>
                <w:rFonts w:ascii="Calibri" w:eastAsia="Times New Roman" w:hAnsi="Calibri" w:cs="Calibri"/>
                <w:color w:val="000000" w:themeColor="text1"/>
                <w:lang w:eastAsia="en-AU"/>
              </w:rPr>
              <w:t>Purification and cleaning,</w:t>
            </w:r>
            <w:r w:rsidR="00131163">
              <w:br/>
            </w:r>
            <w:r w:rsidRPr="0CA60D5F">
              <w:rPr>
                <w:rFonts w:ascii="Calibri" w:eastAsia="Times New Roman" w:hAnsi="Calibri" w:cs="Calibri"/>
                <w:color w:val="000000" w:themeColor="text1"/>
                <w:lang w:eastAsia="en-AU"/>
              </w:rPr>
              <w:t>water treatment</w:t>
            </w:r>
          </w:p>
        </w:tc>
      </w:tr>
      <w:tr w:rsidR="00131163" w:rsidRPr="006D46AF" w14:paraId="0C544086" w14:textId="77777777" w:rsidTr="00177029">
        <w:trPr>
          <w:trHeight w:val="300"/>
        </w:trPr>
        <w:tc>
          <w:tcPr>
            <w:tcW w:w="1905" w:type="pct"/>
            <w:tcBorders>
              <w:top w:val="single" w:sz="6" w:space="0" w:color="E8E8E8"/>
              <w:left w:val="nil"/>
              <w:bottom w:val="single" w:sz="6" w:space="0" w:color="E8E8E8"/>
              <w:right w:val="nil"/>
            </w:tcBorders>
            <w:shd w:val="clear" w:color="auto" w:fill="F2F2F2" w:themeFill="background1" w:themeFillShade="F2"/>
            <w:hideMark/>
          </w:tcPr>
          <w:p w14:paraId="3A3520D7" w14:textId="69D6BEA5"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r w:rsidRPr="0CA60D5F">
              <w:rPr>
                <w:rFonts w:ascii="Calibri" w:eastAsia="Times New Roman" w:hAnsi="Calibri" w:cs="Calibri"/>
                <w:b/>
                <w:bCs/>
                <w:color w:val="000000" w:themeColor="text1"/>
                <w:lang w:eastAsia="en-AU"/>
              </w:rPr>
              <w:t>Oxygen </w:t>
            </w:r>
          </w:p>
        </w:tc>
        <w:tc>
          <w:tcPr>
            <w:tcW w:w="3095" w:type="pct"/>
            <w:tcBorders>
              <w:top w:val="single" w:sz="6" w:space="0" w:color="E8E8E8"/>
              <w:left w:val="nil"/>
              <w:bottom w:val="single" w:sz="6" w:space="0" w:color="E8E8E8"/>
              <w:right w:val="nil"/>
            </w:tcBorders>
            <w:shd w:val="clear" w:color="auto" w:fill="auto"/>
            <w:hideMark/>
          </w:tcPr>
          <w:p w14:paraId="2339AC07" w14:textId="0CB9A092" w:rsidR="00131163" w:rsidRPr="006D46AF" w:rsidRDefault="45AA3630" w:rsidP="006D46AF">
            <w:pPr>
              <w:spacing w:after="0" w:line="240" w:lineRule="auto"/>
              <w:textAlignment w:val="baseline"/>
              <w:rPr>
                <w:rFonts w:ascii="Segoe UI" w:eastAsia="Times New Roman" w:hAnsi="Segoe UI" w:cs="Segoe UI"/>
                <w:color w:val="000000"/>
                <w:sz w:val="18"/>
                <w:szCs w:val="18"/>
                <w:lang w:eastAsia="en-AU"/>
              </w:rPr>
            </w:pPr>
            <w:r w:rsidRPr="0CA60D5F">
              <w:rPr>
                <w:rFonts w:ascii="Calibri" w:eastAsia="Times New Roman" w:hAnsi="Calibri" w:cs="Calibri"/>
                <w:color w:val="000000" w:themeColor="text1"/>
                <w:lang w:eastAsia="en-AU"/>
              </w:rPr>
              <w:t>Wastewater treatment</w:t>
            </w:r>
            <w:r w:rsidR="00131163">
              <w:br/>
            </w:r>
            <w:r w:rsidRPr="0CA60D5F">
              <w:rPr>
                <w:rFonts w:ascii="Calibri" w:eastAsia="Times New Roman" w:hAnsi="Calibri" w:cs="Calibri"/>
                <w:color w:val="000000" w:themeColor="text1"/>
                <w:lang w:eastAsia="en-AU"/>
              </w:rPr>
              <w:t>Sulphur removal</w:t>
            </w:r>
            <w:r w:rsidR="00131163">
              <w:br/>
            </w:r>
            <w:r w:rsidRPr="0CA60D5F">
              <w:rPr>
                <w:rFonts w:ascii="Calibri" w:eastAsia="Times New Roman" w:hAnsi="Calibri" w:cs="Calibri"/>
                <w:color w:val="000000" w:themeColor="text1"/>
                <w:lang w:eastAsia="en-AU"/>
              </w:rPr>
              <w:t xml:space="preserve">Partial oxidation, </w:t>
            </w:r>
            <w:r w:rsidR="00F30740" w:rsidRPr="00F30740">
              <w:rPr>
                <w:rFonts w:ascii="Calibri" w:eastAsia="Times New Roman" w:hAnsi="Calibri" w:cs="Calibri"/>
                <w:color w:val="000000" w:themeColor="text1"/>
                <w:lang w:eastAsia="en-AU"/>
              </w:rPr>
              <w:t>autothermal</w:t>
            </w:r>
            <w:r w:rsidRPr="0CA60D5F">
              <w:rPr>
                <w:rFonts w:ascii="Calibri" w:eastAsia="Times New Roman" w:hAnsi="Calibri" w:cs="Calibri"/>
                <w:color w:val="000000" w:themeColor="text1"/>
                <w:lang w:eastAsia="en-AU"/>
              </w:rPr>
              <w:t xml:space="preserve"> gas reforming and coal gasification methods</w:t>
            </w:r>
          </w:p>
        </w:tc>
      </w:tr>
      <w:tr w:rsidR="00131163" w:rsidRPr="006D46AF" w14:paraId="52F55D28" w14:textId="77777777" w:rsidTr="00177029">
        <w:trPr>
          <w:trHeight w:val="300"/>
        </w:trPr>
        <w:tc>
          <w:tcPr>
            <w:tcW w:w="1905" w:type="pct"/>
            <w:tcBorders>
              <w:top w:val="nil"/>
              <w:left w:val="nil"/>
              <w:bottom w:val="single" w:sz="6" w:space="0" w:color="D1D1D1"/>
              <w:right w:val="nil"/>
            </w:tcBorders>
            <w:shd w:val="clear" w:color="auto" w:fill="F2F2F2" w:themeFill="background1" w:themeFillShade="F2"/>
            <w:hideMark/>
          </w:tcPr>
          <w:p w14:paraId="173C0576" w14:textId="77777777"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r w:rsidRPr="0CA60D5F">
              <w:rPr>
                <w:rFonts w:ascii="Calibri" w:eastAsia="Times New Roman" w:hAnsi="Calibri" w:cs="Calibri"/>
                <w:b/>
                <w:bCs/>
                <w:color w:val="000000" w:themeColor="text1"/>
                <w:lang w:eastAsia="en-AU"/>
              </w:rPr>
              <w:t>Ammonia </w:t>
            </w:r>
            <w:r w:rsidR="00131163">
              <w:br/>
            </w:r>
            <w:r w:rsidRPr="0CA60D5F">
              <w:rPr>
                <w:rFonts w:ascii="Calibri" w:eastAsia="Times New Roman" w:hAnsi="Calibri" w:cs="Calibri"/>
                <w:b/>
                <w:bCs/>
                <w:color w:val="000000" w:themeColor="text1"/>
                <w:lang w:eastAsia="en-AU"/>
              </w:rPr>
              <w:t>Hydrazine </w:t>
            </w:r>
            <w:r w:rsidR="00131163">
              <w:br/>
            </w:r>
            <w:r w:rsidRPr="0CA60D5F">
              <w:rPr>
                <w:rFonts w:ascii="Calibri" w:eastAsia="Times New Roman" w:hAnsi="Calibri" w:cs="Calibri"/>
                <w:b/>
                <w:bCs/>
                <w:color w:val="000000" w:themeColor="text1"/>
                <w:lang w:eastAsia="en-AU"/>
              </w:rPr>
              <w:t>Ammonium chloride </w:t>
            </w:r>
          </w:p>
        </w:tc>
        <w:tc>
          <w:tcPr>
            <w:tcW w:w="3095" w:type="pct"/>
            <w:tcBorders>
              <w:top w:val="nil"/>
              <w:left w:val="nil"/>
              <w:bottom w:val="single" w:sz="6" w:space="0" w:color="D1D1D1"/>
              <w:right w:val="nil"/>
            </w:tcBorders>
            <w:shd w:val="clear" w:color="auto" w:fill="auto"/>
            <w:hideMark/>
          </w:tcPr>
          <w:p w14:paraId="74AA3CDB" w14:textId="2C7A371C" w:rsidR="00131163" w:rsidRPr="006D46AF" w:rsidRDefault="45AA3630" w:rsidP="006D46AF">
            <w:pPr>
              <w:spacing w:after="0" w:line="240" w:lineRule="auto"/>
              <w:textAlignment w:val="baseline"/>
              <w:rPr>
                <w:rFonts w:ascii="Segoe UI" w:eastAsia="Times New Roman" w:hAnsi="Segoe UI" w:cs="Segoe UI"/>
                <w:color w:val="000000"/>
                <w:sz w:val="18"/>
                <w:szCs w:val="18"/>
                <w:lang w:eastAsia="en-AU"/>
              </w:rPr>
            </w:pPr>
            <w:r w:rsidRPr="0CA60D5F">
              <w:rPr>
                <w:rFonts w:ascii="Calibri" w:eastAsia="Times New Roman" w:hAnsi="Calibri" w:cs="Calibri"/>
                <w:color w:val="000000" w:themeColor="text1"/>
                <w:lang w:eastAsia="en-AU"/>
              </w:rPr>
              <w:t>Water and wastewater treatment</w:t>
            </w:r>
          </w:p>
        </w:tc>
      </w:tr>
      <w:tr w:rsidR="00131163" w:rsidRPr="006D46AF" w14:paraId="5900922C" w14:textId="77777777" w:rsidTr="00177029">
        <w:trPr>
          <w:trHeight w:val="300"/>
        </w:trPr>
        <w:tc>
          <w:tcPr>
            <w:tcW w:w="1905" w:type="pct"/>
            <w:tcBorders>
              <w:top w:val="single" w:sz="6" w:space="0" w:color="E8E8E8"/>
              <w:left w:val="nil"/>
              <w:bottom w:val="single" w:sz="6" w:space="0" w:color="E8E8E8"/>
              <w:right w:val="nil"/>
            </w:tcBorders>
            <w:shd w:val="clear" w:color="auto" w:fill="F2F2F2" w:themeFill="background1" w:themeFillShade="F2"/>
            <w:hideMark/>
          </w:tcPr>
          <w:p w14:paraId="53AAEA94" w14:textId="77777777"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r w:rsidRPr="0CA60D5F">
              <w:rPr>
                <w:rFonts w:ascii="Calibri" w:eastAsia="Times New Roman" w:hAnsi="Calibri" w:cs="Calibri"/>
                <w:b/>
                <w:bCs/>
                <w:color w:val="000000" w:themeColor="text1"/>
                <w:lang w:eastAsia="en-AU"/>
              </w:rPr>
              <w:t>Thermal fluids </w:t>
            </w:r>
          </w:p>
        </w:tc>
        <w:tc>
          <w:tcPr>
            <w:tcW w:w="3095" w:type="pct"/>
            <w:tcBorders>
              <w:top w:val="single" w:sz="6" w:space="0" w:color="E8E8E8"/>
              <w:left w:val="nil"/>
              <w:bottom w:val="single" w:sz="6" w:space="0" w:color="E8E8E8"/>
              <w:right w:val="nil"/>
            </w:tcBorders>
            <w:shd w:val="clear" w:color="auto" w:fill="auto"/>
            <w:hideMark/>
          </w:tcPr>
          <w:p w14:paraId="5EF614D8" w14:textId="3E697ECB" w:rsidR="00131163" w:rsidRPr="006D46AF" w:rsidRDefault="45AA3630" w:rsidP="006D46AF">
            <w:pPr>
              <w:spacing w:after="0" w:line="240" w:lineRule="auto"/>
              <w:textAlignment w:val="baseline"/>
              <w:rPr>
                <w:rFonts w:ascii="Segoe UI" w:eastAsia="Times New Roman" w:hAnsi="Segoe UI" w:cs="Segoe UI"/>
                <w:color w:val="000000"/>
                <w:sz w:val="18"/>
                <w:szCs w:val="18"/>
                <w:lang w:eastAsia="en-AU"/>
              </w:rPr>
            </w:pPr>
            <w:r w:rsidRPr="0CA60D5F">
              <w:rPr>
                <w:rFonts w:ascii="Calibri" w:eastAsia="Times New Roman" w:hAnsi="Calibri" w:cs="Calibri"/>
                <w:color w:val="000000" w:themeColor="text1"/>
                <w:lang w:eastAsia="en-AU"/>
              </w:rPr>
              <w:t>Heat transfer fluids (other than steam and refrigerants)</w:t>
            </w:r>
          </w:p>
        </w:tc>
      </w:tr>
      <w:tr w:rsidR="00131163" w:rsidRPr="006D46AF" w14:paraId="79577F8C" w14:textId="77777777" w:rsidTr="00177029">
        <w:trPr>
          <w:trHeight w:val="300"/>
        </w:trPr>
        <w:tc>
          <w:tcPr>
            <w:tcW w:w="1905" w:type="pct"/>
            <w:tcBorders>
              <w:top w:val="nil"/>
              <w:left w:val="nil"/>
              <w:bottom w:val="single" w:sz="6" w:space="0" w:color="D1D1D1"/>
              <w:right w:val="nil"/>
            </w:tcBorders>
            <w:shd w:val="clear" w:color="auto" w:fill="F2F2F2" w:themeFill="background1" w:themeFillShade="F2"/>
            <w:hideMark/>
          </w:tcPr>
          <w:p w14:paraId="05F4820C" w14:textId="77777777"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r w:rsidRPr="0CA60D5F">
              <w:rPr>
                <w:rFonts w:ascii="Calibri" w:eastAsia="Times New Roman" w:hAnsi="Calibri" w:cs="Calibri"/>
                <w:b/>
                <w:bCs/>
                <w:color w:val="000000" w:themeColor="text1"/>
                <w:lang w:eastAsia="en-AU"/>
              </w:rPr>
              <w:t>PSA consumable materials </w:t>
            </w:r>
          </w:p>
        </w:tc>
        <w:tc>
          <w:tcPr>
            <w:tcW w:w="3095" w:type="pct"/>
            <w:tcBorders>
              <w:top w:val="nil"/>
              <w:left w:val="nil"/>
              <w:bottom w:val="single" w:sz="6" w:space="0" w:color="D1D1D1"/>
              <w:right w:val="nil"/>
            </w:tcBorders>
            <w:shd w:val="clear" w:color="auto" w:fill="auto"/>
            <w:hideMark/>
          </w:tcPr>
          <w:p w14:paraId="102DB498" w14:textId="341CDEC3" w:rsidR="00131163" w:rsidRPr="006D46AF" w:rsidRDefault="45AA3630" w:rsidP="006D46AF">
            <w:pPr>
              <w:spacing w:after="0" w:line="240" w:lineRule="auto"/>
              <w:textAlignment w:val="baseline"/>
              <w:rPr>
                <w:rFonts w:ascii="Segoe UI" w:eastAsia="Times New Roman" w:hAnsi="Segoe UI" w:cs="Segoe UI"/>
                <w:color w:val="000000"/>
                <w:sz w:val="18"/>
                <w:szCs w:val="18"/>
                <w:lang w:eastAsia="en-AU"/>
              </w:rPr>
            </w:pPr>
            <w:r w:rsidRPr="0CA60D5F">
              <w:rPr>
                <w:rFonts w:ascii="Calibri" w:eastAsia="Times New Roman" w:hAnsi="Calibri" w:cs="Calibri"/>
                <w:color w:val="000000" w:themeColor="text1"/>
                <w:lang w:eastAsia="en-AU"/>
              </w:rPr>
              <w:t>Purification</w:t>
            </w:r>
          </w:p>
        </w:tc>
      </w:tr>
      <w:tr w:rsidR="00131163" w:rsidRPr="006D46AF" w14:paraId="3056571D" w14:textId="77777777" w:rsidTr="00177029">
        <w:trPr>
          <w:trHeight w:val="300"/>
        </w:trPr>
        <w:tc>
          <w:tcPr>
            <w:tcW w:w="1905" w:type="pct"/>
            <w:tcBorders>
              <w:top w:val="single" w:sz="6" w:space="0" w:color="E8E8E8"/>
              <w:left w:val="nil"/>
              <w:bottom w:val="single" w:sz="6" w:space="0" w:color="E8E8E8"/>
              <w:right w:val="nil"/>
            </w:tcBorders>
            <w:shd w:val="clear" w:color="auto" w:fill="F2F2F2" w:themeFill="background1" w:themeFillShade="F2"/>
            <w:hideMark/>
          </w:tcPr>
          <w:p w14:paraId="2CC51E96" w14:textId="57910E61"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proofErr w:type="spellStart"/>
            <w:r w:rsidRPr="0CA60D5F">
              <w:rPr>
                <w:rFonts w:ascii="Calibri" w:eastAsia="Times New Roman" w:hAnsi="Calibri" w:cs="Calibri"/>
                <w:b/>
                <w:bCs/>
                <w:color w:val="000000" w:themeColor="text1"/>
                <w:lang w:eastAsia="en-AU"/>
              </w:rPr>
              <w:t>Polyaluminium</w:t>
            </w:r>
            <w:proofErr w:type="spellEnd"/>
            <w:r w:rsidRPr="0CA60D5F">
              <w:rPr>
                <w:rFonts w:ascii="Calibri" w:eastAsia="Times New Roman" w:hAnsi="Calibri" w:cs="Calibri"/>
                <w:b/>
                <w:bCs/>
                <w:color w:val="000000" w:themeColor="text1"/>
                <w:lang w:eastAsia="en-AU"/>
              </w:rPr>
              <w:t xml:space="preserve"> chloride (PAC), anti-</w:t>
            </w:r>
            <w:proofErr w:type="spellStart"/>
            <w:r w:rsidRPr="0CA60D5F">
              <w:rPr>
                <w:rFonts w:ascii="Calibri" w:eastAsia="Times New Roman" w:hAnsi="Calibri" w:cs="Calibri"/>
                <w:b/>
                <w:bCs/>
                <w:color w:val="000000" w:themeColor="text1"/>
                <w:lang w:eastAsia="en-AU"/>
              </w:rPr>
              <w:t>scalant</w:t>
            </w:r>
            <w:proofErr w:type="spellEnd"/>
            <w:r w:rsidRPr="0CA60D5F">
              <w:rPr>
                <w:rFonts w:ascii="Calibri" w:eastAsia="Times New Roman" w:hAnsi="Calibri" w:cs="Calibri"/>
                <w:b/>
                <w:bCs/>
                <w:color w:val="000000" w:themeColor="text1"/>
                <w:lang w:eastAsia="en-AU"/>
              </w:rPr>
              <w:t>, NaHSO</w:t>
            </w:r>
            <w:r w:rsidRPr="0087688D">
              <w:rPr>
                <w:rFonts w:ascii="Calibri" w:eastAsia="Times New Roman" w:hAnsi="Calibri" w:cs="Calibri"/>
                <w:b/>
                <w:bCs/>
                <w:color w:val="000000" w:themeColor="text1"/>
                <w:vertAlign w:val="subscript"/>
                <w:lang w:eastAsia="en-AU"/>
              </w:rPr>
              <w:t>3</w:t>
            </w:r>
            <w:r w:rsidRPr="0CA60D5F">
              <w:rPr>
                <w:rFonts w:ascii="Calibri" w:eastAsia="Times New Roman" w:hAnsi="Calibri" w:cs="Calibri"/>
                <w:b/>
                <w:bCs/>
                <w:color w:val="000000" w:themeColor="text1"/>
                <w:lang w:eastAsia="en-AU"/>
              </w:rPr>
              <w:t>, biocides</w:t>
            </w:r>
          </w:p>
        </w:tc>
        <w:tc>
          <w:tcPr>
            <w:tcW w:w="3095" w:type="pct"/>
            <w:tcBorders>
              <w:top w:val="single" w:sz="6" w:space="0" w:color="E8E8E8"/>
              <w:left w:val="nil"/>
              <w:bottom w:val="single" w:sz="6" w:space="0" w:color="E8E8E8"/>
              <w:right w:val="nil"/>
            </w:tcBorders>
            <w:shd w:val="clear" w:color="auto" w:fill="auto"/>
            <w:hideMark/>
          </w:tcPr>
          <w:p w14:paraId="21333CBB" w14:textId="085B2960" w:rsidR="00131163" w:rsidRPr="006D46AF" w:rsidRDefault="45AA3630" w:rsidP="006D46AF">
            <w:pPr>
              <w:spacing w:after="0" w:line="240" w:lineRule="auto"/>
              <w:textAlignment w:val="baseline"/>
              <w:rPr>
                <w:rFonts w:ascii="Segoe UI" w:eastAsia="Times New Roman" w:hAnsi="Segoe UI" w:cs="Segoe UI"/>
                <w:color w:val="000000"/>
                <w:sz w:val="18"/>
                <w:szCs w:val="18"/>
                <w:lang w:eastAsia="en-AU"/>
              </w:rPr>
            </w:pPr>
            <w:r w:rsidRPr="0CA60D5F">
              <w:rPr>
                <w:rFonts w:ascii="Calibri" w:eastAsia="Times New Roman" w:hAnsi="Calibri" w:cs="Calibri"/>
                <w:color w:val="000000" w:themeColor="text1"/>
                <w:lang w:eastAsia="en-AU"/>
              </w:rPr>
              <w:t>Water and wastewater treatment</w:t>
            </w:r>
          </w:p>
        </w:tc>
      </w:tr>
      <w:tr w:rsidR="00131163" w:rsidRPr="006D46AF" w14:paraId="75FCAF5B" w14:textId="77777777" w:rsidTr="00177029">
        <w:trPr>
          <w:trHeight w:val="300"/>
        </w:trPr>
        <w:tc>
          <w:tcPr>
            <w:tcW w:w="1905" w:type="pct"/>
            <w:tcBorders>
              <w:top w:val="nil"/>
              <w:left w:val="nil"/>
              <w:bottom w:val="single" w:sz="6" w:space="0" w:color="D1D1D1"/>
              <w:right w:val="nil"/>
            </w:tcBorders>
            <w:shd w:val="clear" w:color="auto" w:fill="F2F2F2" w:themeFill="background1" w:themeFillShade="F2"/>
            <w:hideMark/>
          </w:tcPr>
          <w:p w14:paraId="7B58CDBF" w14:textId="5906A721"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r w:rsidRPr="0CA60D5F">
              <w:rPr>
                <w:rFonts w:ascii="Calibri" w:eastAsia="Times New Roman" w:hAnsi="Calibri" w:cs="Calibri"/>
                <w:b/>
                <w:bCs/>
                <w:color w:val="000000" w:themeColor="text1"/>
                <w:lang w:eastAsia="en-AU"/>
              </w:rPr>
              <w:t>Hydrazine</w:t>
            </w:r>
            <w:r w:rsidR="00131163">
              <w:br/>
            </w:r>
            <w:r w:rsidRPr="0CA60D5F">
              <w:rPr>
                <w:rFonts w:ascii="Calibri" w:eastAsia="Times New Roman" w:hAnsi="Calibri" w:cs="Calibri"/>
                <w:b/>
                <w:bCs/>
                <w:color w:val="000000" w:themeColor="text1"/>
                <w:lang w:eastAsia="en-AU"/>
              </w:rPr>
              <w:t>Sodium bisulphate</w:t>
            </w:r>
          </w:p>
        </w:tc>
        <w:tc>
          <w:tcPr>
            <w:tcW w:w="3095" w:type="pct"/>
            <w:tcBorders>
              <w:top w:val="nil"/>
              <w:left w:val="nil"/>
              <w:bottom w:val="single" w:sz="6" w:space="0" w:color="D1D1D1"/>
              <w:right w:val="nil"/>
            </w:tcBorders>
            <w:shd w:val="clear" w:color="auto" w:fill="auto"/>
            <w:hideMark/>
          </w:tcPr>
          <w:p w14:paraId="18DA0CE7" w14:textId="41F02ADD" w:rsidR="00131163" w:rsidRPr="006D46AF" w:rsidRDefault="45AA3630" w:rsidP="006D46AF">
            <w:pPr>
              <w:spacing w:after="0" w:line="240" w:lineRule="auto"/>
              <w:textAlignment w:val="baseline"/>
              <w:rPr>
                <w:rFonts w:ascii="Segoe UI" w:eastAsia="Times New Roman" w:hAnsi="Segoe UI" w:cs="Segoe UI"/>
                <w:color w:val="000000"/>
                <w:sz w:val="18"/>
                <w:szCs w:val="18"/>
                <w:lang w:eastAsia="en-AU"/>
              </w:rPr>
            </w:pPr>
            <w:r w:rsidRPr="0CA60D5F">
              <w:rPr>
                <w:rFonts w:ascii="Calibri" w:eastAsia="Times New Roman" w:hAnsi="Calibri" w:cs="Calibri"/>
                <w:color w:val="000000" w:themeColor="text1"/>
                <w:lang w:eastAsia="en-AU"/>
              </w:rPr>
              <w:t>Degassing (steam generation)</w:t>
            </w:r>
          </w:p>
        </w:tc>
      </w:tr>
      <w:tr w:rsidR="00131163" w:rsidRPr="006D46AF" w14:paraId="59C8AF46" w14:textId="77777777" w:rsidTr="00177029">
        <w:trPr>
          <w:trHeight w:val="300"/>
        </w:trPr>
        <w:tc>
          <w:tcPr>
            <w:tcW w:w="1905" w:type="pct"/>
            <w:tcBorders>
              <w:top w:val="single" w:sz="6" w:space="0" w:color="E8E8E8"/>
              <w:left w:val="nil"/>
              <w:bottom w:val="single" w:sz="6" w:space="0" w:color="E8E8E8"/>
              <w:right w:val="nil"/>
            </w:tcBorders>
            <w:shd w:val="clear" w:color="auto" w:fill="F2F2F2" w:themeFill="background1" w:themeFillShade="F2"/>
            <w:hideMark/>
          </w:tcPr>
          <w:p w14:paraId="79E038CF" w14:textId="3FC5EB1E"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r w:rsidRPr="0CA60D5F">
              <w:rPr>
                <w:rFonts w:ascii="Calibri" w:eastAsia="Times New Roman" w:hAnsi="Calibri" w:cs="Calibri"/>
                <w:b/>
                <w:bCs/>
                <w:color w:val="000000" w:themeColor="text1"/>
                <w:lang w:eastAsia="en-AU"/>
              </w:rPr>
              <w:t>Sodium Chlorate</w:t>
            </w:r>
          </w:p>
          <w:p w14:paraId="29F04414" w14:textId="2A21050B"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r w:rsidRPr="0CA60D5F">
              <w:rPr>
                <w:rFonts w:ascii="Calibri" w:eastAsia="Times New Roman" w:hAnsi="Calibri" w:cs="Calibri"/>
                <w:b/>
                <w:bCs/>
                <w:color w:val="000000" w:themeColor="text1"/>
                <w:lang w:eastAsia="en-AU"/>
              </w:rPr>
              <w:t>Sodium hypochlorite</w:t>
            </w:r>
          </w:p>
          <w:p w14:paraId="017075E2" w14:textId="55743FF7"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r w:rsidRPr="0CA60D5F">
              <w:rPr>
                <w:rFonts w:ascii="Calibri" w:eastAsia="Times New Roman" w:hAnsi="Calibri" w:cs="Calibri"/>
                <w:b/>
                <w:bCs/>
                <w:color w:val="000000" w:themeColor="text1"/>
                <w:lang w:eastAsia="en-AU"/>
              </w:rPr>
              <w:t>Chlorine gas</w:t>
            </w:r>
          </w:p>
          <w:p w14:paraId="5266FE92" w14:textId="26C024DC"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r w:rsidRPr="0CA60D5F">
              <w:rPr>
                <w:rFonts w:ascii="Calibri" w:eastAsia="Times New Roman" w:hAnsi="Calibri" w:cs="Calibri"/>
                <w:b/>
                <w:bCs/>
                <w:color w:val="000000" w:themeColor="text1"/>
                <w:lang w:eastAsia="en-AU"/>
              </w:rPr>
              <w:t>Hydrogen peroxide</w:t>
            </w:r>
          </w:p>
        </w:tc>
        <w:tc>
          <w:tcPr>
            <w:tcW w:w="3095" w:type="pct"/>
            <w:tcBorders>
              <w:top w:val="single" w:sz="6" w:space="0" w:color="E8E8E8"/>
              <w:left w:val="nil"/>
              <w:bottom w:val="single" w:sz="6" w:space="0" w:color="E8E8E8"/>
              <w:right w:val="nil"/>
            </w:tcBorders>
            <w:shd w:val="clear" w:color="auto" w:fill="auto"/>
            <w:hideMark/>
          </w:tcPr>
          <w:p w14:paraId="54410BF8" w14:textId="77777777" w:rsidR="00131163" w:rsidRPr="006D46AF" w:rsidRDefault="45AA3630" w:rsidP="006D46AF">
            <w:pPr>
              <w:spacing w:after="0" w:line="240" w:lineRule="auto"/>
              <w:textAlignment w:val="baseline"/>
              <w:rPr>
                <w:rFonts w:ascii="Segoe UI" w:eastAsia="Times New Roman" w:hAnsi="Segoe UI" w:cs="Segoe UI"/>
                <w:color w:val="000000"/>
                <w:sz w:val="18"/>
                <w:szCs w:val="18"/>
                <w:lang w:eastAsia="en-AU"/>
              </w:rPr>
            </w:pPr>
            <w:r w:rsidRPr="0CA60D5F">
              <w:rPr>
                <w:rFonts w:ascii="Calibri" w:eastAsia="Times New Roman" w:hAnsi="Calibri" w:cs="Calibri"/>
                <w:color w:val="000000" w:themeColor="text1"/>
                <w:lang w:eastAsia="en-AU"/>
              </w:rPr>
              <w:t>Water treatment </w:t>
            </w:r>
          </w:p>
          <w:p w14:paraId="5E7501BB" w14:textId="25025657" w:rsidR="00131163" w:rsidRPr="006D46AF" w:rsidRDefault="45AA3630" w:rsidP="00885CBC">
            <w:pPr>
              <w:spacing w:after="0" w:line="240" w:lineRule="auto"/>
              <w:textAlignment w:val="baseline"/>
              <w:rPr>
                <w:rFonts w:ascii="Segoe UI" w:eastAsia="Times New Roman" w:hAnsi="Segoe UI" w:cs="Segoe UI"/>
                <w:color w:val="000000"/>
                <w:sz w:val="18"/>
                <w:szCs w:val="18"/>
                <w:lang w:eastAsia="en-AU"/>
              </w:rPr>
            </w:pPr>
            <w:r w:rsidRPr="0CA60D5F">
              <w:rPr>
                <w:rFonts w:ascii="Calibri" w:eastAsia="Times New Roman" w:hAnsi="Calibri" w:cs="Calibri"/>
                <w:color w:val="000000" w:themeColor="text1"/>
                <w:lang w:eastAsia="en-AU"/>
              </w:rPr>
              <w:t>Disinfection</w:t>
            </w:r>
          </w:p>
        </w:tc>
      </w:tr>
      <w:tr w:rsidR="00131163" w:rsidRPr="006D46AF" w14:paraId="42FF120C" w14:textId="77777777" w:rsidTr="008E70CF">
        <w:trPr>
          <w:trHeight w:val="300"/>
        </w:trPr>
        <w:tc>
          <w:tcPr>
            <w:tcW w:w="1905" w:type="pct"/>
            <w:tcBorders>
              <w:top w:val="nil"/>
              <w:left w:val="nil"/>
              <w:bottom w:val="single" w:sz="18" w:space="0" w:color="ED7D31" w:themeColor="accent2"/>
              <w:right w:val="nil"/>
            </w:tcBorders>
            <w:shd w:val="clear" w:color="auto" w:fill="F2F2F2" w:themeFill="background1" w:themeFillShade="F2"/>
            <w:hideMark/>
          </w:tcPr>
          <w:p w14:paraId="02F8FF07" w14:textId="1E82126E"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r w:rsidRPr="0CA60D5F">
              <w:rPr>
                <w:rFonts w:ascii="Calibri" w:eastAsia="Times New Roman" w:hAnsi="Calibri" w:cs="Calibri"/>
                <w:b/>
                <w:bCs/>
                <w:color w:val="000000" w:themeColor="text1"/>
                <w:lang w:eastAsia="en-AU"/>
              </w:rPr>
              <w:t>Chitosan (and polyamides)</w:t>
            </w:r>
          </w:p>
          <w:p w14:paraId="255C66EB" w14:textId="6E43F3DE"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proofErr w:type="spellStart"/>
            <w:r w:rsidRPr="0CA60D5F">
              <w:rPr>
                <w:rFonts w:ascii="Calibri" w:eastAsia="Times New Roman" w:hAnsi="Calibri" w:cs="Calibri"/>
                <w:b/>
                <w:bCs/>
                <w:color w:val="000000" w:themeColor="text1"/>
                <w:lang w:eastAsia="en-AU"/>
              </w:rPr>
              <w:t>Polytannate</w:t>
            </w:r>
            <w:proofErr w:type="spellEnd"/>
          </w:p>
          <w:p w14:paraId="64E501C4" w14:textId="71545794"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r w:rsidRPr="0CA60D5F">
              <w:rPr>
                <w:rFonts w:ascii="Calibri" w:eastAsia="Times New Roman" w:hAnsi="Calibri" w:cs="Calibri"/>
                <w:b/>
                <w:bCs/>
                <w:color w:val="000000" w:themeColor="text1"/>
                <w:lang w:eastAsia="en-AU"/>
              </w:rPr>
              <w:t>Iron sulphates (both II and III), ferric chloride and ferric chloride sulphate</w:t>
            </w:r>
          </w:p>
          <w:p w14:paraId="4081961E" w14:textId="2711BB00" w:rsidR="00131163" w:rsidRPr="006D46AF" w:rsidRDefault="45AA3630" w:rsidP="006D46AF">
            <w:pPr>
              <w:spacing w:after="0" w:line="240" w:lineRule="auto"/>
              <w:textAlignment w:val="baseline"/>
              <w:rPr>
                <w:rFonts w:ascii="Segoe UI" w:eastAsia="Times New Roman" w:hAnsi="Segoe UI" w:cs="Segoe UI"/>
                <w:b/>
                <w:bCs/>
                <w:color w:val="000000"/>
                <w:sz w:val="18"/>
                <w:szCs w:val="18"/>
                <w:lang w:eastAsia="en-AU"/>
              </w:rPr>
            </w:pPr>
            <w:r w:rsidRPr="0CA60D5F">
              <w:rPr>
                <w:rFonts w:ascii="Calibri" w:eastAsia="Times New Roman" w:hAnsi="Calibri" w:cs="Calibri"/>
                <w:b/>
                <w:bCs/>
                <w:color w:val="000000" w:themeColor="text1"/>
                <w:lang w:eastAsia="en-AU"/>
              </w:rPr>
              <w:t>Aluminium sulphate, aluminium chloride, or sodium aluminate</w:t>
            </w:r>
          </w:p>
        </w:tc>
        <w:tc>
          <w:tcPr>
            <w:tcW w:w="3095" w:type="pct"/>
            <w:tcBorders>
              <w:top w:val="nil"/>
              <w:left w:val="nil"/>
              <w:bottom w:val="single" w:sz="18" w:space="0" w:color="ED7D31" w:themeColor="accent2"/>
              <w:right w:val="nil"/>
            </w:tcBorders>
            <w:shd w:val="clear" w:color="auto" w:fill="auto"/>
            <w:hideMark/>
          </w:tcPr>
          <w:p w14:paraId="3ED4E467" w14:textId="701682FB" w:rsidR="00131163" w:rsidRPr="00955890" w:rsidRDefault="45AA3630" w:rsidP="00885CBC">
            <w:pPr>
              <w:spacing w:after="0" w:line="240" w:lineRule="auto"/>
              <w:textAlignment w:val="baseline"/>
              <w:rPr>
                <w:rFonts w:ascii="Segoe UI" w:eastAsia="Times New Roman" w:hAnsi="Segoe UI" w:cs="Segoe UI"/>
                <w:sz w:val="18"/>
                <w:szCs w:val="18"/>
                <w:lang w:eastAsia="en-AU"/>
              </w:rPr>
            </w:pPr>
            <w:r w:rsidRPr="0CA60D5F">
              <w:rPr>
                <w:rFonts w:ascii="Calibri" w:eastAsia="Times New Roman" w:hAnsi="Calibri" w:cs="Calibri"/>
                <w:lang w:eastAsia="en-AU"/>
              </w:rPr>
              <w:t>Water treatment</w:t>
            </w:r>
            <w:r w:rsidR="00131163">
              <w:br/>
            </w:r>
            <w:r w:rsidRPr="0CA60D5F">
              <w:rPr>
                <w:rFonts w:ascii="Calibri" w:eastAsia="Times New Roman" w:hAnsi="Calibri" w:cs="Calibri"/>
                <w:lang w:eastAsia="en-AU"/>
              </w:rPr>
              <w:t>Coagulation and flocculation (ppm, lost to solid waste)</w:t>
            </w:r>
          </w:p>
        </w:tc>
      </w:tr>
    </w:tbl>
    <w:p w14:paraId="639E6EF4" w14:textId="14AAE65D" w:rsidR="0091211B" w:rsidRPr="00621A7C" w:rsidRDefault="0091211B" w:rsidP="0091211B">
      <w:pPr>
        <w:pStyle w:val="Heading1"/>
        <w:numPr>
          <w:ilvl w:val="0"/>
          <w:numId w:val="0"/>
        </w:numPr>
        <w:rPr>
          <w:rFonts w:asciiTheme="minorHAnsi" w:hAnsiTheme="minorHAnsi" w:cstheme="minorHAnsi"/>
          <w:sz w:val="24"/>
          <w:szCs w:val="24"/>
        </w:rPr>
      </w:pPr>
      <w:r w:rsidRPr="00621A7C">
        <w:rPr>
          <w:rFonts w:asciiTheme="minorHAnsi" w:hAnsiTheme="minorHAnsi" w:cstheme="minorHAnsi"/>
          <w:sz w:val="24"/>
          <w:szCs w:val="24"/>
        </w:rPr>
        <w:br w:type="page"/>
      </w:r>
    </w:p>
    <w:p w14:paraId="750161F5" w14:textId="71818DB2" w:rsidR="00552274" w:rsidRDefault="00552274" w:rsidP="00552274">
      <w:pPr>
        <w:pStyle w:val="Heading1"/>
      </w:pPr>
      <w:bookmarkStart w:id="193" w:name="_Toc146029803"/>
      <w:r>
        <w:t>List of terms and acronyms</w:t>
      </w:r>
      <w:bookmarkEnd w:id="193"/>
    </w:p>
    <w:tbl>
      <w:tblPr>
        <w:tblStyle w:val="CERCallout"/>
        <w:tblW w:w="5000" w:type="pct"/>
        <w:tblLook w:val="0480" w:firstRow="0" w:lastRow="0" w:firstColumn="1" w:lastColumn="0" w:noHBand="0" w:noVBand="1"/>
        <w:tblCaption w:val="test"/>
        <w:tblDescription w:val="tesst"/>
      </w:tblPr>
      <w:tblGrid>
        <w:gridCol w:w="8996"/>
      </w:tblGrid>
      <w:tr w:rsidR="00552274" w14:paraId="1D137E9B" w14:textId="77777777" w:rsidTr="00254C6E">
        <w:trPr>
          <w:trHeight w:val="1134"/>
        </w:trPr>
        <w:tc>
          <w:tcPr>
            <w:tcW w:w="5000" w:type="pct"/>
          </w:tcPr>
          <w:p w14:paraId="5117E705" w14:textId="77777777" w:rsidR="00552274" w:rsidRDefault="00552274" w:rsidP="00AD6EFB">
            <w:pPr>
              <w:pStyle w:val="Heading4"/>
              <w:numPr>
                <w:ilvl w:val="0"/>
                <w:numId w:val="0"/>
              </w:numPr>
              <w:spacing w:before="0" w:beforeAutospacing="0"/>
              <w:rPr>
                <w:b/>
                <w:bCs/>
                <w:i w:val="0"/>
                <w:iCs/>
              </w:rPr>
            </w:pPr>
            <w:r>
              <w:rPr>
                <w:b/>
                <w:bCs/>
                <w:i w:val="0"/>
                <w:iCs/>
              </w:rPr>
              <w:t>Note on how these terms compare to other schemes</w:t>
            </w:r>
          </w:p>
          <w:p w14:paraId="1D067DC4" w14:textId="48228228" w:rsidR="00552274" w:rsidRPr="00F97016" w:rsidRDefault="00552274" w:rsidP="00AD6EFB">
            <w:pPr>
              <w:spacing w:before="0" w:beforeAutospacing="0" w:after="0"/>
            </w:pPr>
            <w:r>
              <w:t xml:space="preserve">This section contains the terms that needed to be explained for operation of the GO scheme. Many of the terms may be closely aligned to concepts or terms used by other schemes. This section would be updated once the terms are finalised to align language with other schemes such as NGER, LRET and EITE where possible. Where the term relates to commonly used variables within </w:t>
            </w:r>
            <w:r w:rsidR="4BFD4FF0">
              <w:t>any of the</w:t>
            </w:r>
            <w:r>
              <w:t xml:space="preserve"> equations</w:t>
            </w:r>
            <w:r w:rsidR="4BFD4FF0">
              <w:t xml:space="preserve"> given in this document</w:t>
            </w:r>
            <w:r>
              <w:t>, these may be given as part of the definition.</w:t>
            </w:r>
          </w:p>
        </w:tc>
      </w:tr>
    </w:tbl>
    <w:p w14:paraId="0B586A72" w14:textId="77777777" w:rsidR="00E87469" w:rsidRDefault="00E87469" w:rsidP="007064EC">
      <w:pPr>
        <w:spacing w:after="0"/>
      </w:pPr>
    </w:p>
    <w:tbl>
      <w:tblPr>
        <w:tblStyle w:val="CERTable"/>
        <w:tblW w:w="0" w:type="auto"/>
        <w:tblLook w:val="04A0" w:firstRow="1" w:lastRow="0" w:firstColumn="1" w:lastColumn="0" w:noHBand="0" w:noVBand="1"/>
      </w:tblPr>
      <w:tblGrid>
        <w:gridCol w:w="3261"/>
        <w:gridCol w:w="5755"/>
      </w:tblGrid>
      <w:tr w:rsidR="00E87469" w14:paraId="401B08C2" w14:textId="77777777" w:rsidTr="000C7024">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04955F34" w14:textId="77777777" w:rsidR="00E87469" w:rsidRDefault="00E87469" w:rsidP="002C4300">
            <w:r>
              <w:t>Term or Acronym</w:t>
            </w:r>
          </w:p>
        </w:tc>
        <w:tc>
          <w:tcPr>
            <w:tcW w:w="5755" w:type="dxa"/>
          </w:tcPr>
          <w:p w14:paraId="717211A0" w14:textId="77777777" w:rsidR="00E87469" w:rsidRDefault="00E87469" w:rsidP="002C4300">
            <w:pPr>
              <w:cnfStyle w:val="100000000000" w:firstRow="1" w:lastRow="0" w:firstColumn="0" w:lastColumn="0" w:oddVBand="0" w:evenVBand="0" w:oddHBand="0" w:evenHBand="0" w:firstRowFirstColumn="0" w:firstRowLastColumn="0" w:lastRowFirstColumn="0" w:lastRowLastColumn="0"/>
            </w:pPr>
            <w:r>
              <w:t>Definition</w:t>
            </w:r>
          </w:p>
        </w:tc>
      </w:tr>
      <w:tr w:rsidR="00D176E1" w14:paraId="6AA1CB14"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5C76B7D5" w14:textId="6A5ED0A9" w:rsidR="00D176E1" w:rsidRPr="00D176E1" w:rsidRDefault="00D176E1" w:rsidP="002C4300">
            <w:pPr>
              <w:rPr>
                <w:b w:val="0"/>
                <w:bCs/>
                <w:i/>
                <w:iCs/>
              </w:rPr>
            </w:pPr>
            <w:r w:rsidRPr="00D176E1">
              <w:rPr>
                <w:b w:val="0"/>
                <w:bCs/>
                <w:i/>
                <w:iCs/>
              </w:rPr>
              <w:t>ABS SMVU</w:t>
            </w:r>
          </w:p>
        </w:tc>
        <w:tc>
          <w:tcPr>
            <w:tcW w:w="5755" w:type="dxa"/>
          </w:tcPr>
          <w:p w14:paraId="51775918" w14:textId="4BBC4F65" w:rsidR="00D176E1" w:rsidRPr="0028287C" w:rsidRDefault="00FE1CEF" w:rsidP="000F7FF6">
            <w:pPr>
              <w:spacing w:after="120"/>
              <w:cnfStyle w:val="000000100000" w:firstRow="0" w:lastRow="0" w:firstColumn="0" w:lastColumn="0" w:oddVBand="0" w:evenVBand="0" w:oddHBand="1" w:evenHBand="0" w:firstRowFirstColumn="0" w:firstRowLastColumn="0" w:lastRowFirstColumn="0" w:lastRowLastColumn="0"/>
            </w:pPr>
            <w:r w:rsidRPr="0028287C">
              <w:t xml:space="preserve">Australian Bureau of Statistics - </w:t>
            </w:r>
            <w:hyperlink r:id="rId24" w:history="1">
              <w:r w:rsidR="00D176E1" w:rsidRPr="0028287C">
                <w:rPr>
                  <w:rStyle w:val="Hyperlink"/>
                </w:rPr>
                <w:t xml:space="preserve">Survey of Motor Vehicle Use, Australia </w:t>
              </w:r>
              <w:r w:rsidR="002B0C12" w:rsidRPr="0028287C">
                <w:rPr>
                  <w:rStyle w:val="Hyperlink"/>
                </w:rPr>
                <w:t xml:space="preserve">(latest version </w:t>
              </w:r>
              <w:r w:rsidR="002978C0" w:rsidRPr="0028287C">
                <w:rPr>
                  <w:rStyle w:val="Hyperlink"/>
                </w:rPr>
                <w:t xml:space="preserve">covering </w:t>
              </w:r>
              <w:r w:rsidR="00D176E1" w:rsidRPr="0028287C">
                <w:rPr>
                  <w:rStyle w:val="Hyperlink"/>
                </w:rPr>
                <w:t>12 Months ended 30 June 2020</w:t>
              </w:r>
              <w:r w:rsidR="002B0C12" w:rsidRPr="0028287C">
                <w:rPr>
                  <w:rStyle w:val="Hyperlink"/>
                </w:rPr>
                <w:t>)</w:t>
              </w:r>
              <w:r w:rsidR="00D176E1" w:rsidRPr="0028287C">
                <w:rPr>
                  <w:rStyle w:val="Hyperlink"/>
                </w:rPr>
                <w:t xml:space="preserve"> </w:t>
              </w:r>
            </w:hyperlink>
          </w:p>
        </w:tc>
      </w:tr>
      <w:tr w:rsidR="00203707" w14:paraId="3F90FE28"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15410343" w14:textId="77777777" w:rsidR="00203707" w:rsidRDefault="00203707">
            <w:pPr>
              <w:rPr>
                <w:b w:val="0"/>
                <w:i/>
              </w:rPr>
            </w:pPr>
            <w:r>
              <w:rPr>
                <w:b w:val="0"/>
                <w:i/>
              </w:rPr>
              <w:t>ACCU</w:t>
            </w:r>
          </w:p>
        </w:tc>
        <w:tc>
          <w:tcPr>
            <w:tcW w:w="5755" w:type="dxa"/>
          </w:tcPr>
          <w:p w14:paraId="7A26DA48" w14:textId="77777777" w:rsidR="00203707" w:rsidRPr="00273172" w:rsidRDefault="00203707" w:rsidP="005D4935">
            <w:pPr>
              <w:spacing w:after="120"/>
              <w:cnfStyle w:val="000000010000" w:firstRow="0" w:lastRow="0" w:firstColumn="0" w:lastColumn="0" w:oddVBand="0" w:evenVBand="0" w:oddHBand="0" w:evenHBand="1" w:firstRowFirstColumn="0" w:firstRowLastColumn="0" w:lastRowFirstColumn="0" w:lastRowLastColumn="0"/>
            </w:pPr>
            <w:r w:rsidRPr="009507FE">
              <w:t>Australian Carbon Credit Units – a unit representing one tonne of carbon dioxide equivalent (tCO</w:t>
            </w:r>
            <w:r w:rsidRPr="00ED467B">
              <w:rPr>
                <w:vertAlign w:val="subscript"/>
              </w:rPr>
              <w:t>2</w:t>
            </w:r>
            <w:r w:rsidRPr="009507FE">
              <w:t>-e) stored or avoided by eligible activities undertaken as part of the Australian Government’s Emissions Reduction Fund.</w:t>
            </w:r>
          </w:p>
        </w:tc>
      </w:tr>
      <w:tr w:rsidR="00E87469" w14:paraId="54513767"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682BC806" w14:textId="203F6C31" w:rsidR="00E87469" w:rsidRDefault="00E87469" w:rsidP="002C4300">
            <w:r w:rsidRPr="007F74A8">
              <w:rPr>
                <w:b w:val="0"/>
                <w:i/>
              </w:rPr>
              <w:t>Activity</w:t>
            </w:r>
          </w:p>
        </w:tc>
        <w:tc>
          <w:tcPr>
            <w:tcW w:w="5755" w:type="dxa"/>
          </w:tcPr>
          <w:p w14:paraId="72A58E4E" w14:textId="4AB2C421" w:rsidR="00E87469" w:rsidRDefault="00E87469" w:rsidP="005D4935">
            <w:pPr>
              <w:spacing w:after="120"/>
              <w:cnfStyle w:val="000000100000" w:firstRow="0" w:lastRow="0" w:firstColumn="0" w:lastColumn="0" w:oddVBand="0" w:evenVBand="0" w:oddHBand="1" w:evenHBand="0" w:firstRowFirstColumn="0" w:firstRowLastColumn="0" w:lastRowFirstColumn="0" w:lastRowLastColumn="0"/>
            </w:pPr>
            <w:r>
              <w:t>An activity is a component of an emissions source for which scheme participants must report emissions information where applicable. This definition is intended to be closely aligned with the equivalent term in NGER.</w:t>
            </w:r>
          </w:p>
        </w:tc>
      </w:tr>
      <w:tr w:rsidR="00E87469" w14:paraId="6AAC8D3A"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4AC74801" w14:textId="331BAC1E" w:rsidR="00E87469" w:rsidRDefault="00E87469" w:rsidP="002C4300">
            <w:r w:rsidRPr="00925266">
              <w:rPr>
                <w:b w:val="0"/>
                <w:bCs/>
                <w:i/>
                <w:iCs/>
              </w:rPr>
              <w:t>Batch</w:t>
            </w:r>
          </w:p>
        </w:tc>
        <w:tc>
          <w:tcPr>
            <w:tcW w:w="5755" w:type="dxa"/>
          </w:tcPr>
          <w:p w14:paraId="5A22232E" w14:textId="4328ADDE" w:rsidR="00E87469" w:rsidRDefault="00E87469" w:rsidP="005D4935">
            <w:pPr>
              <w:spacing w:after="120"/>
              <w:cnfStyle w:val="000000010000" w:firstRow="0" w:lastRow="0" w:firstColumn="0" w:lastColumn="0" w:oddVBand="0" w:evenVBand="0" w:oddHBand="0" w:evenHBand="1" w:firstRowFirstColumn="0" w:firstRowLastColumn="0" w:lastRowFirstColumn="0" w:lastRowLastColumn="0"/>
            </w:pPr>
            <w:r>
              <w:t>A</w:t>
            </w:r>
            <w:r w:rsidRPr="00D062BE">
              <w:t xml:space="preserve"> batch is a quantity of registered product produced at a product facility over the course of a batch period that is considered to have identical</w:t>
            </w:r>
            <w:r>
              <w:t xml:space="preserve"> emissions intensity</w:t>
            </w:r>
            <w:r w:rsidRPr="00D062BE">
              <w:t xml:space="preserve"> </w:t>
            </w:r>
            <w:r>
              <w:t xml:space="preserve">and production </w:t>
            </w:r>
            <w:r w:rsidRPr="00D062BE">
              <w:t>attributes.</w:t>
            </w:r>
          </w:p>
        </w:tc>
      </w:tr>
      <w:tr w:rsidR="00E87469" w14:paraId="38CBAF81"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78B2CB06" w14:textId="261174F6" w:rsidR="00E87469" w:rsidRDefault="00E87469" w:rsidP="002C4300">
            <w:r w:rsidRPr="005F58A0">
              <w:rPr>
                <w:b w:val="0"/>
                <w:bCs/>
                <w:i/>
                <w:iCs/>
              </w:rPr>
              <w:t>Batch period</w:t>
            </w:r>
            <w:r>
              <w:t xml:space="preserve"> </w:t>
            </w:r>
          </w:p>
        </w:tc>
        <w:tc>
          <w:tcPr>
            <w:tcW w:w="5755" w:type="dxa"/>
          </w:tcPr>
          <w:p w14:paraId="7E23A707" w14:textId="0BA6F1A6" w:rsidR="00E87469" w:rsidRDefault="00E87469" w:rsidP="005D4935">
            <w:pPr>
              <w:spacing w:after="120"/>
              <w:cnfStyle w:val="000000100000" w:firstRow="0" w:lastRow="0" w:firstColumn="0" w:lastColumn="0" w:oddVBand="0" w:evenVBand="0" w:oddHBand="1" w:evenHBand="0" w:firstRowFirstColumn="0" w:firstRowLastColumn="0" w:lastRowFirstColumn="0" w:lastRowLastColumn="0"/>
            </w:pPr>
            <w:r>
              <w:t xml:space="preserve">The batch period is a period of time that is determined by the scheme participant in accordance with </w:t>
            </w:r>
            <w:r w:rsidR="001B3286">
              <w:fldChar w:fldCharType="begin"/>
            </w:r>
            <w:r w:rsidR="001B3286">
              <w:instrText xml:space="preserve"> REF _Ref140525409 \r \h </w:instrText>
            </w:r>
            <w:r w:rsidR="001B3286">
              <w:fldChar w:fldCharType="separate"/>
            </w:r>
            <w:r w:rsidR="00785FEC">
              <w:t>Section 1.1.2</w:t>
            </w:r>
            <w:r w:rsidR="001B3286">
              <w:fldChar w:fldCharType="end"/>
            </w:r>
            <w:r>
              <w:t xml:space="preserve">. It is a core component of setting the system boundary for the emissions accounting methodology and represented throughout equations below by the variable </w:t>
            </w:r>
            <m:oMath>
              <m:r>
                <w:rPr>
                  <w:rFonts w:ascii="Cambria Math" w:hAnsi="Cambria Math"/>
                </w:rPr>
                <m:t>b</m:t>
              </m:r>
            </m:oMath>
            <w:r>
              <w:rPr>
                <w:rFonts w:eastAsiaTheme="minorEastAsia"/>
              </w:rPr>
              <w:t>.</w:t>
            </w:r>
          </w:p>
        </w:tc>
      </w:tr>
      <w:tr w:rsidR="00B37785" w14:paraId="4D5F8E30"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5D164557" w14:textId="24F9A133" w:rsidR="00B37785" w:rsidRPr="0028287C" w:rsidRDefault="00E3619D" w:rsidP="002C4300">
            <w:pPr>
              <w:rPr>
                <w:b w:val="0"/>
                <w:i/>
                <w:iCs/>
              </w:rPr>
            </w:pPr>
            <w:r w:rsidRPr="0028287C">
              <w:rPr>
                <w:b w:val="0"/>
                <w:i/>
                <w:iCs/>
              </w:rPr>
              <w:t>BITRE 2021</w:t>
            </w:r>
          </w:p>
        </w:tc>
        <w:tc>
          <w:tcPr>
            <w:tcW w:w="5755" w:type="dxa"/>
          </w:tcPr>
          <w:p w14:paraId="3A6EF2A6" w14:textId="530AD6F8" w:rsidR="00B37785" w:rsidRDefault="00E3619D" w:rsidP="005D4935">
            <w:pPr>
              <w:spacing w:after="120"/>
              <w:cnfStyle w:val="000000010000" w:firstRow="0" w:lastRow="0" w:firstColumn="0" w:lastColumn="0" w:oddVBand="0" w:evenVBand="0" w:oddHBand="0" w:evenHBand="1" w:firstRowFirstColumn="0" w:firstRowLastColumn="0" w:lastRowFirstColumn="0" w:lastRowLastColumn="0"/>
            </w:pPr>
            <w:r w:rsidRPr="00623A5C">
              <w:t>Australian Infrastructure and Transport Statistics - Yearbook 2021</w:t>
            </w:r>
            <w:r w:rsidR="00457629">
              <w:t>,</w:t>
            </w:r>
            <w:r w:rsidRPr="00623A5C">
              <w:t xml:space="preserve"> </w:t>
            </w:r>
            <w:r w:rsidR="00623A5C">
              <w:t xml:space="preserve">published by the Bureau of Infrastructure and Transport Research Economics </w:t>
            </w:r>
            <w:r w:rsidR="00623A5C" w:rsidRPr="00623A5C">
              <w:t>(bitre.gov.au)</w:t>
            </w:r>
            <w:r w:rsidR="00623A5C">
              <w:t>, Department of Infrastructure, Transport, Regional Development and Communications</w:t>
            </w:r>
          </w:p>
        </w:tc>
      </w:tr>
      <w:tr w:rsidR="00E87469" w14:paraId="039DFDEC"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7918BA5B" w14:textId="528B6CD8" w:rsidR="00E87469" w:rsidRDefault="00E87469" w:rsidP="002C4300">
            <w:r w:rsidRPr="003F5997">
              <w:rPr>
                <w:rFonts w:eastAsiaTheme="minorEastAsia"/>
                <w:b w:val="0"/>
                <w:i/>
              </w:rPr>
              <w:t>Claim</w:t>
            </w:r>
          </w:p>
        </w:tc>
        <w:tc>
          <w:tcPr>
            <w:tcW w:w="5755" w:type="dxa"/>
          </w:tcPr>
          <w:p w14:paraId="44B234BD" w14:textId="094FBC6E" w:rsidR="00E87469" w:rsidRPr="00F34128" w:rsidRDefault="00E87469" w:rsidP="005D4935">
            <w:pPr>
              <w:spacing w:after="120"/>
              <w:cnfStyle w:val="000000100000" w:firstRow="0" w:lastRow="0" w:firstColumn="0" w:lastColumn="0" w:oddVBand="0" w:evenVBand="0" w:oddHBand="1" w:evenHBand="0" w:firstRowFirstColumn="0" w:firstRowLastColumn="0" w:lastRowFirstColumn="0" w:lastRowLastColumn="0"/>
              <w:rPr>
                <w:b/>
              </w:rPr>
            </w:pPr>
            <w:r>
              <w:rPr>
                <w:rFonts w:eastAsiaTheme="minorEastAsia"/>
              </w:rPr>
              <w:t xml:space="preserve">A claim is an application to the CER to create GO certificates for one or </w:t>
            </w:r>
            <w:r w:rsidRPr="004A5BE8">
              <w:t>more batches of registered products. A claim may also refer to adding additional information to certificates created during an initial claim, including post-production emissions, consumption and certificate holder updates.</w:t>
            </w:r>
          </w:p>
        </w:tc>
      </w:tr>
      <w:tr w:rsidR="00203707" w14:paraId="71897D25"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D0CECE" w:themeColor="background2" w:themeShade="E6"/>
              <w:bottom w:val="single" w:sz="4" w:space="0" w:color="E7E6E6" w:themeColor="background2"/>
            </w:tcBorders>
          </w:tcPr>
          <w:p w14:paraId="3CDB2061" w14:textId="77777777" w:rsidR="00203707" w:rsidRDefault="00203707">
            <w:pPr>
              <w:rPr>
                <w:b w:val="0"/>
                <w:bCs/>
                <w:i/>
              </w:rPr>
            </w:pPr>
            <w:r w:rsidRPr="004A5BE8">
              <w:rPr>
                <w:b w:val="0"/>
                <w:i/>
              </w:rPr>
              <w:t>Climate</w:t>
            </w:r>
            <w:r w:rsidRPr="00366B82">
              <w:rPr>
                <w:b w:val="0"/>
                <w:bCs/>
                <w:i/>
              </w:rPr>
              <w:t xml:space="preserve"> Active</w:t>
            </w:r>
          </w:p>
        </w:tc>
        <w:tc>
          <w:tcPr>
            <w:tcW w:w="5755" w:type="dxa"/>
            <w:tcBorders>
              <w:top w:val="single" w:sz="4" w:space="0" w:color="D0CECE" w:themeColor="background2" w:themeShade="E6"/>
              <w:bottom w:val="single" w:sz="4" w:space="0" w:color="E7E6E6" w:themeColor="background2"/>
            </w:tcBorders>
          </w:tcPr>
          <w:p w14:paraId="3D75F6CA" w14:textId="77777777" w:rsidR="00203707" w:rsidRPr="00D46725" w:rsidRDefault="00203707" w:rsidP="005D4935">
            <w:pPr>
              <w:spacing w:after="120"/>
              <w:cnfStyle w:val="000000010000" w:firstRow="0" w:lastRow="0" w:firstColumn="0" w:lastColumn="0" w:oddVBand="0" w:evenVBand="0" w:oddHBand="0" w:evenHBand="1" w:firstRowFirstColumn="0" w:firstRowLastColumn="0" w:lastRowFirstColumn="0" w:lastRowLastColumn="0"/>
            </w:pPr>
            <w:r w:rsidRPr="004470BF">
              <w:t>An ongoing partnership between the Australian Government and Australian businesses to drive voluntary climate action. Climate Active certifies business that have credibly reached a state of carbon neutrality by measuring, reducing and offsetting their carbon emissions. Certification is available for organisations (business operations), products and services, buildings, events and precincts.</w:t>
            </w:r>
          </w:p>
        </w:tc>
      </w:tr>
      <w:tr w:rsidR="00203707" w14:paraId="199EB0A2"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E7E6E6" w:themeColor="background2"/>
            </w:tcBorders>
          </w:tcPr>
          <w:p w14:paraId="77B705DA" w14:textId="77777777" w:rsidR="00203707" w:rsidRPr="00AD5F3B" w:rsidRDefault="00203707">
            <w:pPr>
              <w:rPr>
                <w:b w:val="0"/>
                <w:i/>
              </w:rPr>
            </w:pPr>
            <w:r w:rsidRPr="00AD5F3B">
              <w:rPr>
                <w:b w:val="0"/>
                <w:i/>
              </w:rPr>
              <w:t>Coal gasification</w:t>
            </w:r>
          </w:p>
        </w:tc>
        <w:tc>
          <w:tcPr>
            <w:tcW w:w="5755" w:type="dxa"/>
            <w:tcBorders>
              <w:top w:val="single" w:sz="4" w:space="0" w:color="E7E6E6" w:themeColor="background2"/>
            </w:tcBorders>
          </w:tcPr>
          <w:p w14:paraId="436876B4" w14:textId="77777777" w:rsidR="00203707" w:rsidRDefault="00203707" w:rsidP="005D4935">
            <w:pPr>
              <w:spacing w:after="120"/>
              <w:cnfStyle w:val="000000100000" w:firstRow="0" w:lastRow="0" w:firstColumn="0" w:lastColumn="0" w:oddVBand="0" w:evenVBand="0" w:oddHBand="1" w:evenHBand="0" w:firstRowFirstColumn="0" w:firstRowLastColumn="0" w:lastRowFirstColumn="0" w:lastRowLastColumn="0"/>
            </w:pPr>
            <w:r>
              <w:t>The process of</w:t>
            </w:r>
            <w:r w:rsidRPr="00495F2B">
              <w:t xml:space="preserve"> reacting coal (also mixed with biomass) with oxygen under high pressure and temperature to form synthesis gas (syngas), a mixture consisting primarily of carbon monoxide and hydrogen.</w:t>
            </w:r>
          </w:p>
        </w:tc>
      </w:tr>
      <w:tr w:rsidR="00E87469" w14:paraId="4CB9DBD0"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5F22F03E" w14:textId="3C5F020C" w:rsidR="00E87469" w:rsidRDefault="00E87469" w:rsidP="002C4300">
            <w:r w:rsidRPr="003F5997">
              <w:rPr>
                <w:rFonts w:eastAsiaTheme="minorEastAsia"/>
                <w:b w:val="0"/>
                <w:i/>
              </w:rPr>
              <w:t>C</w:t>
            </w:r>
            <w:r>
              <w:rPr>
                <w:rFonts w:eastAsiaTheme="minorEastAsia"/>
                <w:b w:val="0"/>
                <w:i/>
              </w:rPr>
              <w:t>o-product</w:t>
            </w:r>
          </w:p>
        </w:tc>
        <w:tc>
          <w:tcPr>
            <w:tcW w:w="5755" w:type="dxa"/>
          </w:tcPr>
          <w:p w14:paraId="5A676C7D" w14:textId="093C8EC6" w:rsidR="00E87469" w:rsidRPr="00F34128" w:rsidRDefault="00E87469" w:rsidP="005D4935">
            <w:pPr>
              <w:spacing w:after="120"/>
              <w:cnfStyle w:val="000000010000" w:firstRow="0" w:lastRow="0" w:firstColumn="0" w:lastColumn="0" w:oddVBand="0" w:evenVBand="0" w:oddHBand="0" w:evenHBand="1" w:firstRowFirstColumn="0" w:firstRowLastColumn="0" w:lastRowFirstColumn="0" w:lastRowLastColumn="0"/>
            </w:pPr>
            <w:r>
              <w:rPr>
                <w:rFonts w:eastAsiaTheme="minorEastAsia"/>
              </w:rPr>
              <w:t>Coproducts are production outputs with economic value other than the registered product which are sold or reused. These may be eligible to be allocated a part of emissions from the production process.</w:t>
            </w:r>
          </w:p>
        </w:tc>
      </w:tr>
      <w:tr w:rsidR="008F7740" w14:paraId="5A61C78D"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3584FB2F" w14:textId="5AC6968D" w:rsidR="008F7740" w:rsidRPr="003F5997" w:rsidRDefault="008F7740" w:rsidP="002C4300">
            <w:pPr>
              <w:rPr>
                <w:rFonts w:eastAsiaTheme="minorEastAsia"/>
                <w:i/>
              </w:rPr>
            </w:pPr>
            <w:r w:rsidRPr="008F7740">
              <w:rPr>
                <w:rFonts w:eastAsiaTheme="minorEastAsia"/>
                <w:b w:val="0"/>
                <w:i/>
              </w:rPr>
              <w:t>Corporate Emissions Reduction Transparency (CERT)</w:t>
            </w:r>
          </w:p>
        </w:tc>
        <w:tc>
          <w:tcPr>
            <w:tcW w:w="5755" w:type="dxa"/>
          </w:tcPr>
          <w:p w14:paraId="49A5029B" w14:textId="2F03ECEE" w:rsidR="008F7740" w:rsidRDefault="008A18DA" w:rsidP="005D4935">
            <w:pPr>
              <w:spacing w:after="120"/>
              <w:cnfStyle w:val="000000100000" w:firstRow="0" w:lastRow="0" w:firstColumn="0" w:lastColumn="0" w:oddVBand="0" w:evenVBand="0" w:oddHBand="1" w:evenHBand="0" w:firstRowFirstColumn="0" w:firstRowLastColumn="0" w:lastRowFirstColumn="0" w:lastRowLastColumn="0"/>
              <w:rPr>
                <w:rFonts w:eastAsiaTheme="minorEastAsia"/>
              </w:rPr>
            </w:pPr>
            <w:r w:rsidRPr="00346748">
              <w:t xml:space="preserve">The </w:t>
            </w:r>
            <w:r w:rsidRPr="008315BE">
              <w:t>Corporate Emissions Reduction Transparency</w:t>
            </w:r>
            <w:r w:rsidRPr="00346748">
              <w:t xml:space="preserve"> </w:t>
            </w:r>
            <w:r w:rsidR="008315BE">
              <w:t xml:space="preserve">(CERT) </w:t>
            </w:r>
            <w:r w:rsidRPr="00346748">
              <w:t>report is a voluntary initiative for eligible companies to present a snapshot of their climate-related commitments, progress and net emissions position, published by the CER.</w:t>
            </w:r>
          </w:p>
        </w:tc>
      </w:tr>
      <w:tr w:rsidR="00781365" w14:paraId="12BE01AE"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37C774FB" w14:textId="77777777" w:rsidR="00781365" w:rsidRDefault="00781365">
            <w:r>
              <w:rPr>
                <w:rFonts w:eastAsiaTheme="minorEastAsia"/>
                <w:b w:val="0"/>
                <w:bCs/>
                <w:i/>
                <w:iCs/>
              </w:rPr>
              <w:t>Delivered quantity</w:t>
            </w:r>
            <w:r>
              <w:rPr>
                <w:rFonts w:eastAsiaTheme="minorEastAsia"/>
              </w:rPr>
              <w:t xml:space="preserve"> </w:t>
            </w:r>
          </w:p>
        </w:tc>
        <w:tc>
          <w:tcPr>
            <w:tcW w:w="5755" w:type="dxa"/>
          </w:tcPr>
          <w:p w14:paraId="79DF9E04" w14:textId="77777777" w:rsidR="00781365" w:rsidRDefault="00781365" w:rsidP="005D4935">
            <w:pPr>
              <w:spacing w:after="120"/>
              <w:cnfStyle w:val="000000010000" w:firstRow="0" w:lastRow="0" w:firstColumn="0" w:lastColumn="0" w:oddVBand="0" w:evenVBand="0" w:oddHBand="0" w:evenHBand="1" w:firstRowFirstColumn="0" w:firstRowLastColumn="0" w:lastRowFirstColumn="0" w:lastRowLastColumn="0"/>
            </w:pPr>
            <w:r>
              <w:rPr>
                <w:rFonts w:eastAsiaTheme="minorEastAsia"/>
              </w:rPr>
              <w:t>The remaining quantity from a batch of registered product after accounting for all losses from post-production modules and events.</w:t>
            </w:r>
          </w:p>
        </w:tc>
      </w:tr>
      <w:tr w:rsidR="00E87469" w14:paraId="4A107E71"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1132A3B1" w14:textId="57C4828A" w:rsidR="00E87469" w:rsidRDefault="00E87469" w:rsidP="002C4300">
            <w:r w:rsidRPr="002769F5">
              <w:rPr>
                <w:rFonts w:eastAsiaTheme="minorEastAsia"/>
                <w:b w:val="0"/>
                <w:bCs/>
                <w:i/>
                <w:iCs/>
              </w:rPr>
              <w:t>Direct emissions</w:t>
            </w:r>
          </w:p>
        </w:tc>
        <w:tc>
          <w:tcPr>
            <w:tcW w:w="5755" w:type="dxa"/>
          </w:tcPr>
          <w:p w14:paraId="5EBE6AB5" w14:textId="5F27D5E5" w:rsidR="00E87469" w:rsidRDefault="00E87469" w:rsidP="005D4935">
            <w:pPr>
              <w:spacing w:after="120"/>
              <w:cnfStyle w:val="000000100000" w:firstRow="0" w:lastRow="0" w:firstColumn="0" w:lastColumn="0" w:oddVBand="0" w:evenVBand="0" w:oddHBand="1" w:evenHBand="0" w:firstRowFirstColumn="0" w:firstRowLastColumn="0" w:lastRowFirstColumn="0" w:lastRowLastColumn="0"/>
            </w:pPr>
            <w:r>
              <w:rPr>
                <w:rFonts w:eastAsiaTheme="minorEastAsia"/>
              </w:rPr>
              <w:t>Direct emissions are the emissions that are directly attributable to the consumption of an input within a product facility or post-production process.</w:t>
            </w:r>
          </w:p>
        </w:tc>
      </w:tr>
      <w:tr w:rsidR="00540BC4" w14:paraId="7F0FA1E2"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65364054" w14:textId="77777777" w:rsidR="00540BC4" w:rsidRPr="006D355A" w:rsidRDefault="00540BC4">
            <w:pPr>
              <w:rPr>
                <w:b w:val="0"/>
                <w:i/>
              </w:rPr>
            </w:pPr>
            <w:proofErr w:type="spellStart"/>
            <w:r w:rsidRPr="006D355A">
              <w:rPr>
                <w:b w:val="0"/>
                <w:i/>
              </w:rPr>
              <w:t>Ecoinvent</w:t>
            </w:r>
            <w:proofErr w:type="spellEnd"/>
          </w:p>
        </w:tc>
        <w:tc>
          <w:tcPr>
            <w:tcW w:w="5755" w:type="dxa"/>
          </w:tcPr>
          <w:p w14:paraId="6D4EB200" w14:textId="77777777" w:rsidR="00540BC4" w:rsidRPr="004470BF" w:rsidRDefault="00540BC4" w:rsidP="005D4935">
            <w:pPr>
              <w:spacing w:after="120"/>
              <w:cnfStyle w:val="000000010000" w:firstRow="0" w:lastRow="0" w:firstColumn="0" w:lastColumn="0" w:oddVBand="0" w:evenVBand="0" w:oddHBand="0" w:evenHBand="1" w:firstRowFirstColumn="0" w:firstRowLastColumn="0" w:lastRowFirstColumn="0" w:lastRowLastColumn="0"/>
            </w:pPr>
            <w:proofErr w:type="spellStart"/>
            <w:r>
              <w:t>E</w:t>
            </w:r>
            <w:r w:rsidRPr="001D1CE1">
              <w:t>coinvent</w:t>
            </w:r>
            <w:proofErr w:type="spellEnd"/>
            <w:r w:rsidRPr="001D1CE1">
              <w:t xml:space="preserve"> is a not-for-profit association dedicated to promoting and supporting the availability of environmental data worldwide.</w:t>
            </w:r>
            <w:r>
              <w:t xml:space="preserve"> </w:t>
            </w:r>
            <w:r w:rsidRPr="006D355A">
              <w:t xml:space="preserve">The </w:t>
            </w:r>
            <w:proofErr w:type="spellStart"/>
            <w:r>
              <w:t>E</w:t>
            </w:r>
            <w:r w:rsidRPr="006D355A">
              <w:t>coinvent</w:t>
            </w:r>
            <w:proofErr w:type="spellEnd"/>
            <w:r w:rsidRPr="006D355A">
              <w:t xml:space="preserve"> database is a compilation of Life Cycle Inventory (LCI) data for materials and products</w:t>
            </w:r>
          </w:p>
        </w:tc>
      </w:tr>
      <w:tr w:rsidR="00540BC4" w14:paraId="593C47FA"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E7E6E6" w:themeColor="background2"/>
            </w:tcBorders>
          </w:tcPr>
          <w:p w14:paraId="15C24CEC" w14:textId="77777777" w:rsidR="00540BC4" w:rsidRDefault="00540BC4">
            <w:pPr>
              <w:rPr>
                <w:b w:val="0"/>
                <w:i/>
              </w:rPr>
            </w:pPr>
            <w:r>
              <w:rPr>
                <w:b w:val="0"/>
                <w:i/>
              </w:rPr>
              <w:t>EITE</w:t>
            </w:r>
          </w:p>
        </w:tc>
        <w:tc>
          <w:tcPr>
            <w:tcW w:w="5755" w:type="dxa"/>
            <w:tcBorders>
              <w:bottom w:val="single" w:sz="4" w:space="0" w:color="E7E6E6" w:themeColor="background2"/>
            </w:tcBorders>
          </w:tcPr>
          <w:p w14:paraId="5A0DA9E9" w14:textId="77777777" w:rsidR="00540BC4" w:rsidRPr="00FA6AFD" w:rsidRDefault="00540BC4" w:rsidP="005D4935">
            <w:pPr>
              <w:spacing w:after="120"/>
              <w:cnfStyle w:val="000000100000" w:firstRow="0" w:lastRow="0" w:firstColumn="0" w:lastColumn="0" w:oddVBand="0" w:evenVBand="0" w:oddHBand="1" w:evenHBand="0" w:firstRowFirstColumn="0" w:firstRowLastColumn="0" w:lastRowFirstColumn="0" w:lastRowLastColumn="0"/>
            </w:pPr>
            <w:r w:rsidRPr="00E95C7F">
              <w:t>The Commonwealth Government’s Emissions-Intensive and Trade-Exposed (EITE) scheme is designed to compensate industries affected by the incoming carbon price who are unable to pass costs downstream due to international competition.</w:t>
            </w:r>
          </w:p>
        </w:tc>
      </w:tr>
      <w:tr w:rsidR="00E96DD1" w:rsidRPr="004A5BE8" w14:paraId="7C774190"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E7E6E6" w:themeColor="background2"/>
            </w:tcBorders>
          </w:tcPr>
          <w:p w14:paraId="3E3BD7A5" w14:textId="77777777" w:rsidR="00E96DD1" w:rsidRPr="004A5BE8" w:rsidRDefault="00E96DD1">
            <w:pPr>
              <w:rPr>
                <w:rFonts w:eastAsiaTheme="minorEastAsia"/>
                <w:b w:val="0"/>
                <w:bCs/>
                <w:i/>
                <w:iCs/>
              </w:rPr>
            </w:pPr>
            <w:r w:rsidRPr="004A5BE8">
              <w:rPr>
                <w:rFonts w:eastAsiaTheme="minorEastAsia"/>
                <w:b w:val="0"/>
                <w:bCs/>
                <w:i/>
                <w:iCs/>
              </w:rPr>
              <w:t>Electrolysis</w:t>
            </w:r>
          </w:p>
        </w:tc>
        <w:tc>
          <w:tcPr>
            <w:tcW w:w="5755" w:type="dxa"/>
            <w:tcBorders>
              <w:top w:val="single" w:sz="4" w:space="0" w:color="E7E6E6" w:themeColor="background2"/>
            </w:tcBorders>
          </w:tcPr>
          <w:p w14:paraId="18CC9B87" w14:textId="77777777" w:rsidR="00E96DD1" w:rsidRPr="004A5BE8" w:rsidRDefault="00E96DD1" w:rsidP="005D4935">
            <w:pPr>
              <w:spacing w:after="120"/>
              <w:cnfStyle w:val="000000010000" w:firstRow="0" w:lastRow="0" w:firstColumn="0" w:lastColumn="0" w:oddVBand="0" w:evenVBand="0" w:oddHBand="0" w:evenHBand="1" w:firstRowFirstColumn="0" w:firstRowLastColumn="0" w:lastRowFirstColumn="0" w:lastRowLastColumn="0"/>
            </w:pPr>
            <w:r w:rsidRPr="004A5BE8">
              <w:t>The process of using electricity to split water into hydrogen and oxygen. This reaction takes place in a unit called an electrolyser.</w:t>
            </w:r>
          </w:p>
        </w:tc>
      </w:tr>
      <w:tr w:rsidR="00781365" w14:paraId="132AABC4"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E7E6E6" w:themeColor="background2"/>
            </w:tcBorders>
          </w:tcPr>
          <w:p w14:paraId="2704D837" w14:textId="77777777" w:rsidR="00781365" w:rsidRDefault="00781365">
            <w:r>
              <w:rPr>
                <w:rFonts w:eastAsiaTheme="minorEastAsia"/>
                <w:b w:val="0"/>
                <w:bCs/>
                <w:i/>
                <w:iCs/>
              </w:rPr>
              <w:t>Emission factors</w:t>
            </w:r>
          </w:p>
        </w:tc>
        <w:tc>
          <w:tcPr>
            <w:tcW w:w="5755" w:type="dxa"/>
            <w:tcBorders>
              <w:top w:val="single" w:sz="4" w:space="0" w:color="E7E6E6" w:themeColor="background2"/>
            </w:tcBorders>
          </w:tcPr>
          <w:p w14:paraId="7FE784F4" w14:textId="77777777" w:rsidR="00781365" w:rsidRDefault="00781365">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These are variables that are used in emissions calculations across all types of emissions sources. There are several types of emissions factors mentioned throughout this paper that may be used in the Guarantee of Origin scheme, these are discussed in more detail in Part 3. </w:t>
            </w:r>
          </w:p>
          <w:p w14:paraId="6FE46FB6" w14:textId="77777777" w:rsidR="00781365" w:rsidRDefault="00781365">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The various types are:</w:t>
            </w:r>
          </w:p>
          <w:p w14:paraId="299E88B0" w14:textId="77777777" w:rsidR="00781365" w:rsidRDefault="00781365">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rFonts w:eastAsiaTheme="minorEastAsia"/>
              </w:rPr>
            </w:pPr>
            <w:r w:rsidRPr="3CFC4445">
              <w:rPr>
                <w:rFonts w:eastAsiaTheme="minorEastAsia"/>
              </w:rPr>
              <w:t>Direct factors, for use in emissions calculations related to direct emissions.</w:t>
            </w:r>
          </w:p>
          <w:p w14:paraId="41EE8D3F" w14:textId="77777777" w:rsidR="00781365" w:rsidRDefault="00781365">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rFonts w:eastAsiaTheme="minorEastAsia"/>
              </w:rPr>
            </w:pPr>
            <w:r w:rsidRPr="3CFC4445">
              <w:rPr>
                <w:rFonts w:eastAsiaTheme="minorEastAsia"/>
              </w:rPr>
              <w:t>Upstream factors, for use in emissions calculations related to upstream emissions.</w:t>
            </w:r>
          </w:p>
          <w:p w14:paraId="77AD8466" w14:textId="77777777" w:rsidR="00781365" w:rsidRDefault="00781365">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rFonts w:eastAsiaTheme="minorEastAsia"/>
              </w:rPr>
            </w:pPr>
            <w:r w:rsidRPr="3CFC4445">
              <w:rPr>
                <w:rFonts w:eastAsiaTheme="minorEastAsia"/>
              </w:rPr>
              <w:t xml:space="preserve">Residual energy mix factors, for use in emissions calculations related to indirect emissions (scope 2 emissions). </w:t>
            </w:r>
          </w:p>
          <w:p w14:paraId="56BD2714" w14:textId="77777777" w:rsidR="00781365" w:rsidRDefault="00781365">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rFonts w:eastAsiaTheme="minorEastAsia"/>
              </w:rPr>
            </w:pPr>
            <w:r w:rsidRPr="3CFC4445">
              <w:rPr>
                <w:rFonts w:eastAsiaTheme="minorEastAsia"/>
              </w:rPr>
              <w:t>Default factors are a type of standardised emissions factor that is sourced from various inventories throughout Australia.</w:t>
            </w:r>
          </w:p>
          <w:p w14:paraId="2379CFEE" w14:textId="5FF9316A" w:rsidR="00781365" w:rsidRDefault="00781365" w:rsidP="005D4935">
            <w:pPr>
              <w:pStyle w:val="ListParagraph"/>
              <w:numPr>
                <w:ilvl w:val="1"/>
                <w:numId w:val="1"/>
              </w:numPr>
              <w:spacing w:after="120"/>
              <w:cnfStyle w:val="000000100000" w:firstRow="0" w:lastRow="0" w:firstColumn="0" w:lastColumn="0" w:oddVBand="0" w:evenVBand="0" w:oddHBand="1" w:evenHBand="0" w:firstRowFirstColumn="0" w:firstRowLastColumn="0" w:lastRowFirstColumn="0" w:lastRowLastColumn="0"/>
            </w:pPr>
            <w:r w:rsidRPr="3CFC4445">
              <w:rPr>
                <w:rFonts w:eastAsiaTheme="minorEastAsia"/>
              </w:rPr>
              <w:t>Bespoke factors, which are proposed as a future iteration for the GO scheme to allow participants to derive more specific emissions factors,</w:t>
            </w:r>
          </w:p>
        </w:tc>
      </w:tr>
      <w:tr w:rsidR="00781365" w14:paraId="05115086"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400E6A21" w14:textId="77777777" w:rsidR="00781365" w:rsidRDefault="00781365">
            <w:r w:rsidRPr="00BD2BE1">
              <w:rPr>
                <w:rFonts w:eastAsiaTheme="minorEastAsia"/>
                <w:b w:val="0"/>
                <w:bCs/>
                <w:i/>
                <w:iCs/>
              </w:rPr>
              <w:t>Emissions Intensity</w:t>
            </w:r>
          </w:p>
        </w:tc>
        <w:tc>
          <w:tcPr>
            <w:tcW w:w="5755" w:type="dxa"/>
          </w:tcPr>
          <w:p w14:paraId="040A47D6" w14:textId="77777777" w:rsidR="00781365" w:rsidRDefault="00781365">
            <w:pPr>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 xml:space="preserve">The emissions intensity is the emissions per unit of product. This may be calculated per sub-category, measurement grouping and overall. The overall would be calculated from the summation of all measurement groupings divided by the quantity of product. The well-to-production gate emissions will be locked at the product facility boundary, production gate-to-delivery gate emissions will be adjusted as post-production emissions are added though transfer processes to the end consumer. </w:t>
            </w:r>
            <w:r>
              <w:t xml:space="preserve">It is represented throughout equations below by the variable </w:t>
            </w:r>
            <m:oMath>
              <m:r>
                <w:rPr>
                  <w:rFonts w:ascii="Cambria Math" w:hAnsi="Cambria Math"/>
                </w:rPr>
                <m:t>EI</m:t>
              </m:r>
            </m:oMath>
            <w:r>
              <w:rPr>
                <w:rFonts w:eastAsiaTheme="minorEastAsia"/>
              </w:rPr>
              <w:t>.</w:t>
            </w:r>
          </w:p>
          <w:p w14:paraId="19729A09" w14:textId="77777777" w:rsidR="00781365" w:rsidRPr="003F419C" w:rsidRDefault="00781365">
            <w:pPr>
              <w:pStyle w:val="ListParagraph"/>
              <w:cnfStyle w:val="000000010000" w:firstRow="0" w:lastRow="0" w:firstColumn="0" w:lastColumn="0" w:oddVBand="0" w:evenVBand="0" w:oddHBand="0" w:evenHBand="1" w:firstRowFirstColumn="0" w:firstRowLastColumn="0" w:lastRowFirstColumn="0" w:lastRowLastColumn="0"/>
              <w:rPr>
                <w:rFonts w:eastAsiaTheme="minorEastAsia"/>
              </w:rPr>
            </w:pPr>
            <w:r>
              <w:t>Reporting of emissions, specifically onsite and downstream emissions, will require separation of sources such as carbon dioxide, methane, nitrous oxide, and other greenhouse gas sources.</w:t>
            </w:r>
          </w:p>
          <w:p w14:paraId="5C8C1513" w14:textId="77777777" w:rsidR="00781365" w:rsidRPr="00ED5976" w:rsidRDefault="00781365" w:rsidP="005D4935">
            <w:pPr>
              <w:pStyle w:val="ListParagraph"/>
              <w:spacing w:after="120"/>
              <w:cnfStyle w:val="000000010000" w:firstRow="0" w:lastRow="0" w:firstColumn="0" w:lastColumn="0" w:oddVBand="0" w:evenVBand="0" w:oddHBand="0" w:evenHBand="1" w:firstRowFirstColumn="0" w:firstRowLastColumn="0" w:lastRowFirstColumn="0" w:lastRowLastColumn="0"/>
              <w:rPr>
                <w:rFonts w:eastAsiaTheme="minorEastAsia"/>
              </w:rPr>
            </w:pPr>
            <w:r>
              <w:t>Upstream emissions may be estimated as an aggregate if no reasonable burden of reporting exists.</w:t>
            </w:r>
          </w:p>
        </w:tc>
      </w:tr>
      <w:tr w:rsidR="00781365" w14:paraId="0C8F1D51"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E7E6E6" w:themeColor="background2"/>
            </w:tcBorders>
          </w:tcPr>
          <w:p w14:paraId="0FFA2889" w14:textId="77777777" w:rsidR="00781365" w:rsidRDefault="00781365">
            <w:r w:rsidRPr="00D10A3C">
              <w:rPr>
                <w:rFonts w:eastAsiaTheme="minorEastAsia"/>
                <w:b w:val="0"/>
                <w:bCs/>
                <w:i/>
                <w:iCs/>
              </w:rPr>
              <w:t>Events</w:t>
            </w:r>
          </w:p>
        </w:tc>
        <w:tc>
          <w:tcPr>
            <w:tcW w:w="5755" w:type="dxa"/>
            <w:tcBorders>
              <w:bottom w:val="single" w:sz="4" w:space="0" w:color="E7E6E6" w:themeColor="background2"/>
            </w:tcBorders>
          </w:tcPr>
          <w:p w14:paraId="0AF1B876" w14:textId="77777777" w:rsidR="00781365" w:rsidRDefault="00781365">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Events result in product losses and/or greenhouse gas emissions which occur within the well-to-delivery gate boundary which are not accounted for under the registered operating conditions. These include, but are not limited to:</w:t>
            </w:r>
          </w:p>
          <w:p w14:paraId="763E432E" w14:textId="77777777" w:rsidR="00781365" w:rsidRDefault="00781365" w:rsidP="006808AD">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t>Deliberate releases (venting),</w:t>
            </w:r>
          </w:p>
          <w:p w14:paraId="4DA44461" w14:textId="77777777" w:rsidR="00781365" w:rsidRDefault="00781365" w:rsidP="006808AD">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t>Accidental releases (venting),</w:t>
            </w:r>
          </w:p>
          <w:p w14:paraId="31E02311" w14:textId="77777777" w:rsidR="00781365" w:rsidRDefault="00781365" w:rsidP="006808AD">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t>System upset releases,</w:t>
            </w:r>
          </w:p>
          <w:p w14:paraId="7EAE173E" w14:textId="77777777" w:rsidR="00781365" w:rsidRDefault="00781365" w:rsidP="006808AD">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t>System purges,</w:t>
            </w:r>
          </w:p>
          <w:p w14:paraId="77BE9E14" w14:textId="77777777" w:rsidR="00781365" w:rsidRDefault="00781365" w:rsidP="006808AD">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t>Non-routine venting or flaring,</w:t>
            </w:r>
          </w:p>
          <w:p w14:paraId="7299AD02" w14:textId="5729B6D8" w:rsidR="00781365" w:rsidRPr="00F34128" w:rsidRDefault="00781365" w:rsidP="006808AD">
            <w:pPr>
              <w:pStyle w:val="ListParagraph"/>
              <w:numPr>
                <w:ilvl w:val="0"/>
                <w:numId w:val="19"/>
              </w:numPr>
              <w:spacing w:after="120"/>
              <w:cnfStyle w:val="000000100000" w:firstRow="0" w:lastRow="0" w:firstColumn="0" w:lastColumn="0" w:oddVBand="0" w:evenVBand="0" w:oddHBand="1" w:evenHBand="0" w:firstRowFirstColumn="0" w:firstRowLastColumn="0" w:lastRowFirstColumn="0" w:lastRowLastColumn="0"/>
              <w:rPr>
                <w:b/>
              </w:rPr>
            </w:pPr>
            <w:r>
              <w:t>And other uncontrolled losses.</w:t>
            </w:r>
          </w:p>
        </w:tc>
      </w:tr>
      <w:tr w:rsidR="00781365" w14:paraId="3A2E2502"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E7E6E6" w:themeColor="background2"/>
            </w:tcBorders>
          </w:tcPr>
          <w:p w14:paraId="496FDB38" w14:textId="77777777" w:rsidR="00781365" w:rsidRPr="004A5BE8" w:rsidRDefault="00781365">
            <w:pPr>
              <w:rPr>
                <w:rFonts w:eastAsiaTheme="minorEastAsia"/>
                <w:b w:val="0"/>
                <w:bCs/>
                <w:i/>
                <w:iCs/>
              </w:rPr>
            </w:pPr>
            <w:r>
              <w:rPr>
                <w:rFonts w:eastAsiaTheme="minorEastAsia"/>
                <w:b w:val="0"/>
                <w:bCs/>
                <w:i/>
                <w:iCs/>
              </w:rPr>
              <w:t>Functional unit</w:t>
            </w:r>
          </w:p>
        </w:tc>
        <w:tc>
          <w:tcPr>
            <w:tcW w:w="5755" w:type="dxa"/>
            <w:tcBorders>
              <w:top w:val="single" w:sz="4" w:space="0" w:color="E7E6E6" w:themeColor="background2"/>
            </w:tcBorders>
          </w:tcPr>
          <w:p w14:paraId="6339C457" w14:textId="77777777" w:rsidR="00781365" w:rsidRPr="004A5BE8" w:rsidRDefault="00781365" w:rsidP="005D4935">
            <w:pPr>
              <w:spacing w:after="120"/>
              <w:cnfStyle w:val="000000010000" w:firstRow="0" w:lastRow="0" w:firstColumn="0" w:lastColumn="0" w:oddVBand="0" w:evenVBand="0" w:oddHBand="0" w:evenHBand="1" w:firstRowFirstColumn="0" w:firstRowLastColumn="0" w:lastRowFirstColumn="0" w:lastRowLastColumn="0"/>
              <w:rPr>
                <w:rFonts w:ascii="Calibri" w:eastAsiaTheme="minorEastAsia" w:hAnsi="Calibri"/>
                <w:bCs/>
                <w:i/>
                <w:iCs/>
              </w:rPr>
            </w:pPr>
            <w:r w:rsidRPr="004A5BE8">
              <w:t>The functional unit is the basis for which the overall emissions are converted to a standardised unit. This is outlined by the IPHE for hydrogen as 1 kg of product. Further guidance on conditions such as pressure and purity requirements are bound by the consumer requirements, ands this may be outlined as a definition of the product facility.</w:t>
            </w:r>
          </w:p>
        </w:tc>
      </w:tr>
      <w:tr w:rsidR="00887B9C" w14:paraId="616E1FD8"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E7E6E6" w:themeColor="background2"/>
            </w:tcBorders>
          </w:tcPr>
          <w:p w14:paraId="4F4F74E1" w14:textId="77777777" w:rsidR="00887B9C" w:rsidRDefault="00887B9C">
            <w:r w:rsidRPr="006D2F63">
              <w:rPr>
                <w:rFonts w:eastAsiaTheme="minorEastAsia"/>
                <w:b w:val="0"/>
                <w:bCs/>
                <w:i/>
                <w:iCs/>
              </w:rPr>
              <w:t xml:space="preserve">GO </w:t>
            </w:r>
            <w:r>
              <w:rPr>
                <w:rFonts w:eastAsiaTheme="minorEastAsia"/>
                <w:b w:val="0"/>
                <w:bCs/>
                <w:i/>
                <w:iCs/>
              </w:rPr>
              <w:t>C</w:t>
            </w:r>
            <w:r w:rsidRPr="006D2F63">
              <w:rPr>
                <w:rFonts w:eastAsiaTheme="minorEastAsia"/>
                <w:b w:val="0"/>
                <w:bCs/>
                <w:i/>
                <w:iCs/>
              </w:rPr>
              <w:t>ertificate</w:t>
            </w:r>
          </w:p>
        </w:tc>
        <w:tc>
          <w:tcPr>
            <w:tcW w:w="5755" w:type="dxa"/>
            <w:tcBorders>
              <w:top w:val="single" w:sz="4" w:space="0" w:color="E7E6E6" w:themeColor="background2"/>
            </w:tcBorders>
          </w:tcPr>
          <w:p w14:paraId="3643C876" w14:textId="77777777" w:rsidR="00887B9C" w:rsidRDefault="00887B9C" w:rsidP="005D4935">
            <w:pPr>
              <w:spacing w:after="120"/>
              <w:cnfStyle w:val="000000100000" w:firstRow="0" w:lastRow="0" w:firstColumn="0" w:lastColumn="0" w:oddVBand="0" w:evenVBand="0" w:oddHBand="1" w:evenHBand="0" w:firstRowFirstColumn="0" w:firstRowLastColumn="0" w:lastRowFirstColumn="0" w:lastRowLastColumn="0"/>
            </w:pPr>
            <w:r>
              <w:rPr>
                <w:rFonts w:eastAsiaTheme="minorEastAsia"/>
              </w:rPr>
              <w:t>A certificate created by the scheme participant under the Guarantee of Origin scheme</w:t>
            </w:r>
            <w:r w:rsidRPr="002F5111">
              <w:rPr>
                <w:rFonts w:eastAsiaTheme="minorEastAsia"/>
              </w:rPr>
              <w:t xml:space="preserve"> </w:t>
            </w:r>
            <w:r>
              <w:rPr>
                <w:rFonts w:eastAsiaTheme="minorEastAsia"/>
              </w:rPr>
              <w:t>calculated using this methodology, the Clean Energy Regulator is responsible for validating the claims made on the certificate including the emissions values.</w:t>
            </w:r>
          </w:p>
        </w:tc>
      </w:tr>
      <w:tr w:rsidR="00540BC4" w14:paraId="4E739FD6"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2EA5681C" w14:textId="77777777" w:rsidR="00540BC4" w:rsidRDefault="00540BC4">
            <w:pPr>
              <w:rPr>
                <w:b w:val="0"/>
                <w:i/>
              </w:rPr>
            </w:pPr>
            <w:r>
              <w:rPr>
                <w:b w:val="0"/>
                <w:i/>
              </w:rPr>
              <w:t>GreenPower</w:t>
            </w:r>
          </w:p>
        </w:tc>
        <w:tc>
          <w:tcPr>
            <w:tcW w:w="5755" w:type="dxa"/>
          </w:tcPr>
          <w:p w14:paraId="1A97D92F" w14:textId="77777777" w:rsidR="00540BC4" w:rsidRPr="00E95C7F" w:rsidRDefault="00540BC4" w:rsidP="005D4935">
            <w:pPr>
              <w:spacing w:after="120"/>
              <w:cnfStyle w:val="000000010000" w:firstRow="0" w:lastRow="0" w:firstColumn="0" w:lastColumn="0" w:oddVBand="0" w:evenVBand="0" w:oddHBand="0" w:evenHBand="1" w:firstRowFirstColumn="0" w:firstRowLastColumn="0" w:lastRowFirstColumn="0" w:lastRowLastColumn="0"/>
            </w:pPr>
            <w:r w:rsidRPr="00273172">
              <w:t>GreenPower is a government accredited renewable energy product offered by most electricity retailers to households and businesses in Australia.</w:t>
            </w:r>
          </w:p>
        </w:tc>
      </w:tr>
      <w:tr w:rsidR="00887B9C" w14:paraId="2D116C33"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4A523B10" w14:textId="77777777" w:rsidR="00887B9C" w:rsidRDefault="00887B9C">
            <w:r>
              <w:rPr>
                <w:rFonts w:eastAsiaTheme="minorEastAsia"/>
                <w:b w:val="0"/>
                <w:bCs/>
                <w:i/>
                <w:iCs/>
              </w:rPr>
              <w:t>HUB</w:t>
            </w:r>
          </w:p>
        </w:tc>
        <w:tc>
          <w:tcPr>
            <w:tcW w:w="5755" w:type="dxa"/>
          </w:tcPr>
          <w:p w14:paraId="48096FC3" w14:textId="539E0F49" w:rsidR="00887B9C" w:rsidRDefault="00887B9C" w:rsidP="005D4935">
            <w:pPr>
              <w:spacing w:after="120"/>
              <w:cnfStyle w:val="000000100000" w:firstRow="0" w:lastRow="0" w:firstColumn="0" w:lastColumn="0" w:oddVBand="0" w:evenVBand="0" w:oddHBand="1" w:evenHBand="0" w:firstRowFirstColumn="0" w:firstRowLastColumn="0" w:lastRowFirstColumn="0" w:lastRowLastColumn="0"/>
            </w:pPr>
            <w:r>
              <w:rPr>
                <w:rFonts w:eastAsiaTheme="minorEastAsia"/>
              </w:rPr>
              <w:t>A facility designed as a transfer point between transport modes including storage facilities, docklands (wharfs), distribution centres, and road-rail freight hubs.</w:t>
            </w:r>
          </w:p>
        </w:tc>
      </w:tr>
      <w:tr w:rsidR="00887B9C" w14:paraId="644D69A3"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1070AAA2" w14:textId="77777777" w:rsidR="00887B9C" w:rsidRDefault="00887B9C">
            <w:r w:rsidRPr="00FD4C6B">
              <w:rPr>
                <w:rFonts w:eastAsiaTheme="minorEastAsia"/>
                <w:b w:val="0"/>
                <w:bCs/>
                <w:i/>
                <w:iCs/>
              </w:rPr>
              <w:t>Indirect emissions</w:t>
            </w:r>
          </w:p>
        </w:tc>
        <w:tc>
          <w:tcPr>
            <w:tcW w:w="5755" w:type="dxa"/>
          </w:tcPr>
          <w:p w14:paraId="4D4ED4FA" w14:textId="77777777" w:rsidR="00887B9C" w:rsidRDefault="00887B9C" w:rsidP="005D4935">
            <w:pPr>
              <w:spacing w:after="120"/>
              <w:cnfStyle w:val="000000010000" w:firstRow="0" w:lastRow="0" w:firstColumn="0" w:lastColumn="0" w:oddVBand="0" w:evenVBand="0" w:oddHBand="0" w:evenHBand="1" w:firstRowFirstColumn="0" w:firstRowLastColumn="0" w:lastRowFirstColumn="0" w:lastRowLastColumn="0"/>
            </w:pPr>
            <w:r>
              <w:rPr>
                <w:rFonts w:eastAsiaTheme="minorEastAsia"/>
              </w:rPr>
              <w:t>Indirect emissions are the scope 2 emissions that are related to the production output from a product facility or with a post-production event.</w:t>
            </w:r>
          </w:p>
        </w:tc>
      </w:tr>
      <w:tr w:rsidR="00887B9C" w14:paraId="0496A3AE"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08DA84DC" w14:textId="77777777" w:rsidR="00887B9C" w:rsidRDefault="00887B9C">
            <w:r w:rsidRPr="00DC053A">
              <w:rPr>
                <w:rFonts w:eastAsiaTheme="minorEastAsia"/>
                <w:b w:val="0"/>
                <w:bCs/>
                <w:i/>
                <w:iCs/>
              </w:rPr>
              <w:t>IPHE</w:t>
            </w:r>
          </w:p>
        </w:tc>
        <w:tc>
          <w:tcPr>
            <w:tcW w:w="5755" w:type="dxa"/>
          </w:tcPr>
          <w:p w14:paraId="42279BF3" w14:textId="76F2932B" w:rsidR="00887B9C" w:rsidRDefault="00887B9C" w:rsidP="005D4935">
            <w:pPr>
              <w:spacing w:after="120"/>
              <w:cnfStyle w:val="000000100000" w:firstRow="0" w:lastRow="0" w:firstColumn="0" w:lastColumn="0" w:oddVBand="0" w:evenVBand="0" w:oddHBand="1" w:evenHBand="0" w:firstRowFirstColumn="0" w:firstRowLastColumn="0" w:lastRowFirstColumn="0" w:lastRowLastColumn="0"/>
            </w:pPr>
            <w:r w:rsidRPr="001D0361">
              <w:rPr>
                <w:bCs/>
              </w:rPr>
              <w:t>International Partnership for Hydrogen and Fuel Cells in the Economy</w:t>
            </w:r>
            <w:r>
              <w:rPr>
                <w:bCs/>
              </w:rPr>
              <w:t xml:space="preserve"> (IPHE)</w:t>
            </w:r>
            <w:r w:rsidRPr="001D0361">
              <w:rPr>
                <w:bCs/>
              </w:rPr>
              <w:t xml:space="preserve"> </w:t>
            </w:r>
            <w:r w:rsidR="003A459E">
              <w:rPr>
                <w:bCs/>
              </w:rPr>
              <w:t>–</w:t>
            </w:r>
            <w:r>
              <w:t xml:space="preserve"> an international government-to-government partnership whose goal is to promote the advancement of technical hydrogen industry standards and protocols that are expected to underpin future trade and investment in hydrogen.</w:t>
            </w:r>
          </w:p>
        </w:tc>
      </w:tr>
      <w:tr w:rsidR="00887B9C" w14:paraId="12A8C800"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2211FAFE" w14:textId="77777777" w:rsidR="00887B9C" w:rsidRDefault="00887B9C">
            <w:r>
              <w:rPr>
                <w:rFonts w:eastAsiaTheme="minorEastAsia"/>
                <w:b w:val="0"/>
                <w:bCs/>
                <w:i/>
                <w:iCs/>
              </w:rPr>
              <w:t>Lost quantity</w:t>
            </w:r>
          </w:p>
        </w:tc>
        <w:tc>
          <w:tcPr>
            <w:tcW w:w="5755" w:type="dxa"/>
          </w:tcPr>
          <w:p w14:paraId="26D69F44" w14:textId="77777777" w:rsidR="00887B9C" w:rsidRPr="00DB42EE" w:rsidRDefault="00887B9C" w:rsidP="005D4935">
            <w:pPr>
              <w:spacing w:after="120"/>
              <w:cnfStyle w:val="000000010000" w:firstRow="0" w:lastRow="0" w:firstColumn="0" w:lastColumn="0" w:oddVBand="0" w:evenVBand="0" w:oddHBand="0" w:evenHBand="1" w:firstRowFirstColumn="0" w:firstRowLastColumn="0" w:lastRowFirstColumn="0" w:lastRowLastColumn="0"/>
              <w:rPr>
                <w:u w:val="single"/>
              </w:rPr>
            </w:pPr>
            <w:r>
              <w:rPr>
                <w:rFonts w:eastAsiaTheme="minorEastAsia"/>
              </w:rPr>
              <w:t>The quantity from a batch of registered product that was lost in post-production modules or events.</w:t>
            </w:r>
          </w:p>
        </w:tc>
      </w:tr>
      <w:tr w:rsidR="00887B9C" w14:paraId="0D8FA863"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700D68BC" w14:textId="77777777" w:rsidR="00887B9C" w:rsidRDefault="00887B9C">
            <w:r w:rsidRPr="00925266">
              <w:rPr>
                <w:b w:val="0"/>
                <w:bCs/>
                <w:i/>
                <w:iCs/>
              </w:rPr>
              <w:t>Measurement grouping</w:t>
            </w:r>
          </w:p>
        </w:tc>
        <w:tc>
          <w:tcPr>
            <w:tcW w:w="5755" w:type="dxa"/>
          </w:tcPr>
          <w:p w14:paraId="4D77F21A" w14:textId="40BA694B" w:rsidR="00887B9C" w:rsidRDefault="00887B9C" w:rsidP="005D4935">
            <w:pPr>
              <w:spacing w:after="120"/>
              <w:cnfStyle w:val="000000100000" w:firstRow="0" w:lastRow="0" w:firstColumn="0" w:lastColumn="0" w:oddVBand="0" w:evenVBand="0" w:oddHBand="1" w:evenHBand="0" w:firstRowFirstColumn="0" w:firstRowLastColumn="0" w:lastRowFirstColumn="0" w:lastRowLastColumn="0"/>
            </w:pPr>
            <w:r>
              <w:t xml:space="preserve">A measurement grouping is set by the </w:t>
            </w:r>
            <w:r w:rsidRPr="00F56018">
              <w:rPr>
                <w:i/>
                <w:iCs/>
              </w:rPr>
              <w:t>scheme participant</w:t>
            </w:r>
            <w:r>
              <w:t xml:space="preserve"> to structure how information about emissions sources throughout the product facility will be reported.</w:t>
            </w:r>
            <w:r w:rsidRPr="00E27A38">
              <w:t xml:space="preserve"> </w:t>
            </w:r>
            <w:r w:rsidRPr="00CB1C71">
              <w:fldChar w:fldCharType="begin"/>
            </w:r>
            <w:r w:rsidRPr="00CB1C71">
              <w:instrText xml:space="preserve"> REF _Ref130474776 \r \h </w:instrText>
            </w:r>
            <w:r>
              <w:instrText xml:space="preserve"> \* MERGEFORMAT </w:instrText>
            </w:r>
            <w:r w:rsidRPr="00CB1C71">
              <w:fldChar w:fldCharType="separate"/>
            </w:r>
            <w:r w:rsidR="00785FEC">
              <w:t>0</w:t>
            </w:r>
            <w:r w:rsidRPr="00CB1C71">
              <w:fldChar w:fldCharType="end"/>
            </w:r>
            <w:r>
              <w:t xml:space="preserve"> outlines how scheme participants can set this term. It is integral to determining the system boundary and represented throughout the emissions accounting methodology by the variable </w:t>
            </w:r>
            <w:proofErr w:type="spellStart"/>
            <w:r>
              <w:rPr>
                <w:i/>
                <w:iCs/>
              </w:rPr>
              <w:t>i</w:t>
            </w:r>
            <w:proofErr w:type="spellEnd"/>
            <w:r>
              <w:rPr>
                <w:i/>
                <w:iCs/>
              </w:rPr>
              <w:t>.</w:t>
            </w:r>
          </w:p>
        </w:tc>
      </w:tr>
      <w:tr w:rsidR="00887B9C" w14:paraId="21D3CF98"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E7E6E6" w:themeColor="background2"/>
            </w:tcBorders>
          </w:tcPr>
          <w:p w14:paraId="5B3BA8BE" w14:textId="77777777" w:rsidR="00887B9C" w:rsidRDefault="00887B9C">
            <w:r w:rsidRPr="007F74A8">
              <w:rPr>
                <w:b w:val="0"/>
                <w:bCs/>
                <w:i/>
                <w:iCs/>
              </w:rPr>
              <w:t>Module</w:t>
            </w:r>
          </w:p>
        </w:tc>
        <w:tc>
          <w:tcPr>
            <w:tcW w:w="5755" w:type="dxa"/>
            <w:tcBorders>
              <w:bottom w:val="single" w:sz="4" w:space="0" w:color="E7E6E6" w:themeColor="background2"/>
            </w:tcBorders>
          </w:tcPr>
          <w:p w14:paraId="1AC56581" w14:textId="4FD9A121" w:rsidR="00887B9C" w:rsidRDefault="00887B9C" w:rsidP="005D4935">
            <w:pPr>
              <w:spacing w:after="120"/>
              <w:cnfStyle w:val="000000010000" w:firstRow="0" w:lastRow="0" w:firstColumn="0" w:lastColumn="0" w:oddVBand="0" w:evenVBand="0" w:oddHBand="0" w:evenHBand="1" w:firstRowFirstColumn="0" w:firstRowLastColumn="0" w:lastRowFirstColumn="0" w:lastRowLastColumn="0"/>
            </w:pPr>
            <w:r>
              <w:t xml:space="preserve">A sub-component of the relevant process that is required, or otherwise applicable, to be included as part of the product facility or post-production process as defined in </w:t>
            </w:r>
            <w:r>
              <w:fldChar w:fldCharType="begin"/>
            </w:r>
            <w:r>
              <w:instrText xml:space="preserve"> REF _Ref131083080 \r \h </w:instrText>
            </w:r>
            <w:r>
              <w:fldChar w:fldCharType="separate"/>
            </w:r>
            <w:r w:rsidR="00785FEC">
              <w:t>Section 1.1.1</w:t>
            </w:r>
            <w:r>
              <w:fldChar w:fldCharType="end"/>
            </w:r>
            <w:r>
              <w:t>. These modules generally relate to a process or sub-process which may be, but not required to be, treated in isolation within a product facility or post-product facility.</w:t>
            </w:r>
          </w:p>
        </w:tc>
      </w:tr>
      <w:tr w:rsidR="00BA13D9" w14:paraId="3F3CD7EC"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E7E6E6" w:themeColor="background2"/>
              <w:bottom w:val="single" w:sz="4" w:space="0" w:color="E7E6E6" w:themeColor="background2"/>
            </w:tcBorders>
          </w:tcPr>
          <w:p w14:paraId="674DF72A" w14:textId="5E526B7C" w:rsidR="00BA13D9" w:rsidRPr="008B5BE6" w:rsidRDefault="008B5BE6">
            <w:pPr>
              <w:rPr>
                <w:b w:val="0"/>
                <w:bCs/>
                <w:i/>
                <w:iCs/>
              </w:rPr>
            </w:pPr>
            <w:r w:rsidRPr="002121FB">
              <w:rPr>
                <w:b w:val="0"/>
                <w:bCs/>
                <w:i/>
                <w:iCs/>
              </w:rPr>
              <w:t>NGA Factors</w:t>
            </w:r>
          </w:p>
        </w:tc>
        <w:tc>
          <w:tcPr>
            <w:tcW w:w="5755" w:type="dxa"/>
            <w:tcBorders>
              <w:top w:val="single" w:sz="4" w:space="0" w:color="E7E6E6" w:themeColor="background2"/>
              <w:bottom w:val="single" w:sz="4" w:space="0" w:color="E7E6E6" w:themeColor="background2"/>
            </w:tcBorders>
          </w:tcPr>
          <w:p w14:paraId="350FEE7C" w14:textId="78D8E27D" w:rsidR="00BA13D9" w:rsidRPr="0080701F" w:rsidRDefault="00DA2770" w:rsidP="005D4935">
            <w:pPr>
              <w:spacing w:after="120"/>
              <w:cnfStyle w:val="000000100000" w:firstRow="0" w:lastRow="0" w:firstColumn="0" w:lastColumn="0" w:oddVBand="0" w:evenVBand="0" w:oddHBand="1" w:evenHBand="0" w:firstRowFirstColumn="0" w:firstRowLastColumn="0" w:lastRowFirstColumn="0" w:lastRowLastColumn="0"/>
            </w:pPr>
            <w:r w:rsidRPr="0080701F">
              <w:t xml:space="preserve">The National Greenhouse Accounts (NGA) Factors provides emission factors and methods that help companies and individuals estimate greenhouse gas emissions. </w:t>
            </w:r>
            <w:r w:rsidR="002121FB" w:rsidRPr="0080701F">
              <w:t>The</w:t>
            </w:r>
            <w:r w:rsidRPr="0080701F">
              <w:t xml:space="preserve"> </w:t>
            </w:r>
            <w:r w:rsidR="002121FB" w:rsidRPr="0080701F">
              <w:t>D</w:t>
            </w:r>
            <w:r w:rsidRPr="0080701F">
              <w:t xml:space="preserve">epartment </w:t>
            </w:r>
            <w:r w:rsidR="002121FB" w:rsidRPr="0080701F">
              <w:t xml:space="preserve">of Climate Change, Energy, the Environment and Water </w:t>
            </w:r>
            <w:r w:rsidRPr="0080701F">
              <w:t>publishes revised factors every year.</w:t>
            </w:r>
          </w:p>
        </w:tc>
      </w:tr>
      <w:tr w:rsidR="00203707" w14:paraId="499B5C17"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E7E6E6" w:themeColor="background2"/>
            </w:tcBorders>
          </w:tcPr>
          <w:p w14:paraId="2DEB3145" w14:textId="77777777" w:rsidR="00203707" w:rsidRPr="00AD5F3B" w:rsidRDefault="00203707">
            <w:pPr>
              <w:rPr>
                <w:b w:val="0"/>
                <w:bCs/>
                <w:i/>
              </w:rPr>
            </w:pPr>
            <w:r>
              <w:rPr>
                <w:b w:val="0"/>
                <w:bCs/>
                <w:i/>
              </w:rPr>
              <w:t>NGER Determination</w:t>
            </w:r>
          </w:p>
        </w:tc>
        <w:tc>
          <w:tcPr>
            <w:tcW w:w="5755" w:type="dxa"/>
            <w:tcBorders>
              <w:top w:val="single" w:sz="4" w:space="0" w:color="E7E6E6" w:themeColor="background2"/>
            </w:tcBorders>
          </w:tcPr>
          <w:p w14:paraId="32CDF584" w14:textId="77777777" w:rsidR="00203707" w:rsidRPr="006562AA" w:rsidRDefault="00203707">
            <w:pPr>
              <w:cnfStyle w:val="000000010000" w:firstRow="0" w:lastRow="0" w:firstColumn="0" w:lastColumn="0" w:oddVBand="0" w:evenVBand="0" w:oddHBand="0" w:evenHBand="1" w:firstRowFirstColumn="0" w:firstRowLastColumn="0" w:lastRowFirstColumn="0" w:lastRowLastColumn="0"/>
            </w:pPr>
            <w:r w:rsidRPr="006562AA">
              <w:t xml:space="preserve">The </w:t>
            </w:r>
            <w:r>
              <w:t>NGER (</w:t>
            </w:r>
            <w:r w:rsidRPr="006562AA">
              <w:t>Measurement</w:t>
            </w:r>
            <w:r>
              <w:t>)</w:t>
            </w:r>
            <w:r w:rsidRPr="006562AA">
              <w:t xml:space="preserve"> Determination provides the methods and criteria for calculating greenhouse gas emissions and energy data under the </w:t>
            </w:r>
            <w:r>
              <w:t xml:space="preserve">NGER </w:t>
            </w:r>
            <w:r w:rsidRPr="006562AA">
              <w:t>Act.</w:t>
            </w:r>
          </w:p>
          <w:p w14:paraId="22508D71" w14:textId="77777777" w:rsidR="00203707" w:rsidRPr="006562AA" w:rsidRDefault="00203707">
            <w:pPr>
              <w:cnfStyle w:val="000000010000" w:firstRow="0" w:lastRow="0" w:firstColumn="0" w:lastColumn="0" w:oddVBand="0" w:evenVBand="0" w:oddHBand="0" w:evenHBand="1" w:firstRowFirstColumn="0" w:firstRowLastColumn="0" w:lastRowFirstColumn="0" w:lastRowLastColumn="0"/>
            </w:pPr>
            <w:r w:rsidRPr="006562AA">
              <w:t>The original instrument has been updated annually since 2009 to reflect updates to emissions factors, improvements to estimation methods and responses to consultation feedback.</w:t>
            </w:r>
          </w:p>
          <w:p w14:paraId="074EDC48" w14:textId="77777777" w:rsidR="00203707" w:rsidRPr="006562AA" w:rsidRDefault="00203707">
            <w:pPr>
              <w:cnfStyle w:val="000000010000" w:firstRow="0" w:lastRow="0" w:firstColumn="0" w:lastColumn="0" w:oddVBand="0" w:evenVBand="0" w:oddHBand="0" w:evenHBand="1" w:firstRowFirstColumn="0" w:firstRowLastColumn="0" w:lastRowFirstColumn="0" w:lastRowLastColumn="0"/>
            </w:pPr>
            <w:r w:rsidRPr="006562AA">
              <w:t>The range of emission sources covered in the Measurement Determination includes:</w:t>
            </w:r>
          </w:p>
          <w:p w14:paraId="77655A6B" w14:textId="77777777" w:rsidR="00203707" w:rsidRPr="007958C3" w:rsidRDefault="00203707">
            <w:pPr>
              <w:pStyle w:val="ListParagraph"/>
              <w:numPr>
                <w:ilvl w:val="0"/>
                <w:numId w:val="18"/>
              </w:numPr>
              <w:cnfStyle w:val="000000010000" w:firstRow="0" w:lastRow="0" w:firstColumn="0" w:lastColumn="0" w:oddVBand="0" w:evenVBand="0" w:oddHBand="0" w:evenHBand="1" w:firstRowFirstColumn="0" w:firstRowLastColumn="0" w:lastRowFirstColumn="0" w:lastRowLastColumn="0"/>
            </w:pPr>
            <w:r w:rsidRPr="007958C3">
              <w:t>the combustion of fuels for energy</w:t>
            </w:r>
          </w:p>
          <w:p w14:paraId="064AB7C8" w14:textId="77777777" w:rsidR="00203707" w:rsidRPr="007958C3" w:rsidRDefault="00203707">
            <w:pPr>
              <w:pStyle w:val="ListParagraph"/>
              <w:numPr>
                <w:ilvl w:val="0"/>
                <w:numId w:val="18"/>
              </w:numPr>
              <w:cnfStyle w:val="000000010000" w:firstRow="0" w:lastRow="0" w:firstColumn="0" w:lastColumn="0" w:oddVBand="0" w:evenVBand="0" w:oddHBand="0" w:evenHBand="1" w:firstRowFirstColumn="0" w:firstRowLastColumn="0" w:lastRowFirstColumn="0" w:lastRowLastColumn="0"/>
            </w:pPr>
            <w:r w:rsidRPr="007958C3">
              <w:t>fugitive emissions from the extraction of coal, oil and gas</w:t>
            </w:r>
          </w:p>
          <w:p w14:paraId="7B791F56" w14:textId="77777777" w:rsidR="00203707" w:rsidRPr="007958C3" w:rsidRDefault="00203707">
            <w:pPr>
              <w:pStyle w:val="ListParagraph"/>
              <w:numPr>
                <w:ilvl w:val="0"/>
                <w:numId w:val="18"/>
              </w:numPr>
              <w:cnfStyle w:val="000000010000" w:firstRow="0" w:lastRow="0" w:firstColumn="0" w:lastColumn="0" w:oddVBand="0" w:evenVBand="0" w:oddHBand="0" w:evenHBand="1" w:firstRowFirstColumn="0" w:firstRowLastColumn="0" w:lastRowFirstColumn="0" w:lastRowLastColumn="0"/>
            </w:pPr>
            <w:r w:rsidRPr="007958C3">
              <w:t>industrial processes (such as producing cement and steel)</w:t>
            </w:r>
          </w:p>
          <w:p w14:paraId="70B42278" w14:textId="77777777" w:rsidR="00203707" w:rsidRPr="007958C3" w:rsidRDefault="00203707" w:rsidP="006808AD">
            <w:pPr>
              <w:pStyle w:val="ListParagraph"/>
              <w:numPr>
                <w:ilvl w:val="0"/>
                <w:numId w:val="18"/>
              </w:numPr>
              <w:spacing w:after="120"/>
              <w:cnfStyle w:val="000000010000" w:firstRow="0" w:lastRow="0" w:firstColumn="0" w:lastColumn="0" w:oddVBand="0" w:evenVBand="0" w:oddHBand="0" w:evenHBand="1" w:firstRowFirstColumn="0" w:firstRowLastColumn="0" w:lastRowFirstColumn="0" w:lastRowLastColumn="0"/>
            </w:pPr>
            <w:r w:rsidRPr="007958C3">
              <w:t>waste management</w:t>
            </w:r>
          </w:p>
        </w:tc>
      </w:tr>
      <w:tr w:rsidR="00887B9C" w14:paraId="1259DE86"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55CFC9DE" w14:textId="77777777" w:rsidR="00887B9C" w:rsidRPr="00252A0F" w:rsidRDefault="00887B9C">
            <w:pPr>
              <w:rPr>
                <w:b w:val="0"/>
                <w:bCs/>
                <w:i/>
                <w:iCs/>
              </w:rPr>
            </w:pPr>
            <w:r w:rsidRPr="00252A0F">
              <w:rPr>
                <w:b w:val="0"/>
                <w:bCs/>
                <w:i/>
                <w:iCs/>
              </w:rPr>
              <w:t>NGER Measurement Determination</w:t>
            </w:r>
          </w:p>
        </w:tc>
        <w:tc>
          <w:tcPr>
            <w:tcW w:w="5755" w:type="dxa"/>
          </w:tcPr>
          <w:p w14:paraId="1F8026B6" w14:textId="77777777" w:rsidR="00887B9C" w:rsidRDefault="00887B9C" w:rsidP="005D4935">
            <w:pPr>
              <w:spacing w:after="120"/>
              <w:cnfStyle w:val="000000100000" w:firstRow="0" w:lastRow="0" w:firstColumn="0" w:lastColumn="0" w:oddVBand="0" w:evenVBand="0" w:oddHBand="1" w:evenHBand="0" w:firstRowFirstColumn="0" w:firstRowLastColumn="0" w:lastRowFirstColumn="0" w:lastRowLastColumn="0"/>
            </w:pPr>
            <w:r>
              <w:t xml:space="preserve">The </w:t>
            </w:r>
            <w:r w:rsidRPr="006E02C9">
              <w:rPr>
                <w:i/>
                <w:iCs/>
              </w:rPr>
              <w:t>National Greenhouse and Energy Reporting (Measurement) Determination 2008</w:t>
            </w:r>
            <w:r>
              <w:t xml:space="preserve"> sets out estimation methods applicable under the NGER scheme.</w:t>
            </w:r>
          </w:p>
        </w:tc>
      </w:tr>
      <w:tr w:rsidR="00887B9C" w14:paraId="695CBF9D"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1CBA7C52" w14:textId="77777777" w:rsidR="00887B9C" w:rsidRPr="00252A0F" w:rsidRDefault="00887B9C">
            <w:pPr>
              <w:rPr>
                <w:b w:val="0"/>
                <w:bCs/>
                <w:i/>
                <w:iCs/>
              </w:rPr>
            </w:pPr>
            <w:r w:rsidRPr="00252A0F">
              <w:rPr>
                <w:b w:val="0"/>
                <w:bCs/>
                <w:i/>
                <w:iCs/>
              </w:rPr>
              <w:t xml:space="preserve">NGER Regulations </w:t>
            </w:r>
          </w:p>
        </w:tc>
        <w:tc>
          <w:tcPr>
            <w:tcW w:w="5755" w:type="dxa"/>
          </w:tcPr>
          <w:p w14:paraId="39400DC3" w14:textId="77777777" w:rsidR="00887B9C" w:rsidRDefault="00887B9C" w:rsidP="005D4935">
            <w:pPr>
              <w:spacing w:after="120"/>
              <w:cnfStyle w:val="000000010000" w:firstRow="0" w:lastRow="0" w:firstColumn="0" w:lastColumn="0" w:oddVBand="0" w:evenVBand="0" w:oddHBand="0" w:evenHBand="1" w:firstRowFirstColumn="0" w:firstRowLastColumn="0" w:lastRowFirstColumn="0" w:lastRowLastColumn="0"/>
            </w:pPr>
            <w:r>
              <w:t xml:space="preserve">The </w:t>
            </w:r>
            <w:r w:rsidRPr="006E02C9">
              <w:rPr>
                <w:i/>
                <w:iCs/>
              </w:rPr>
              <w:t>National Greenhouse and Energy Reporting Regulations 2008</w:t>
            </w:r>
            <w:r>
              <w:t xml:space="preserve"> specify further detail of the NGER scheme as established under the </w:t>
            </w:r>
            <w:r w:rsidRPr="006E02C9">
              <w:rPr>
                <w:i/>
                <w:iCs/>
              </w:rPr>
              <w:t>National Greenhouse and Energy Reporting Act 2007</w:t>
            </w:r>
            <w:r>
              <w:t xml:space="preserve">. </w:t>
            </w:r>
          </w:p>
        </w:tc>
      </w:tr>
      <w:tr w:rsidR="00540BC4" w14:paraId="0EF1F63B"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718DED14" w14:textId="77777777" w:rsidR="00540BC4" w:rsidRPr="006D355A" w:rsidRDefault="00540BC4">
            <w:pPr>
              <w:rPr>
                <w:b w:val="0"/>
                <w:i/>
              </w:rPr>
            </w:pPr>
            <w:r>
              <w:rPr>
                <w:b w:val="0"/>
                <w:i/>
              </w:rPr>
              <w:t>NGERs</w:t>
            </w:r>
          </w:p>
        </w:tc>
        <w:tc>
          <w:tcPr>
            <w:tcW w:w="5755" w:type="dxa"/>
          </w:tcPr>
          <w:p w14:paraId="6CCCFC25" w14:textId="6B4116D3" w:rsidR="00540BC4" w:rsidRDefault="00540BC4" w:rsidP="005D4935">
            <w:pPr>
              <w:spacing w:after="120"/>
              <w:cnfStyle w:val="000000100000" w:firstRow="0" w:lastRow="0" w:firstColumn="0" w:lastColumn="0" w:oddVBand="0" w:evenVBand="0" w:oddHBand="1" w:evenHBand="0" w:firstRowFirstColumn="0" w:firstRowLastColumn="0" w:lastRowFirstColumn="0" w:lastRowLastColumn="0"/>
            </w:pPr>
            <w:r w:rsidRPr="00FA6AFD">
              <w:t xml:space="preserve">National Greenhouse and Energy Reporting scheme </w:t>
            </w:r>
            <w:r w:rsidR="003A459E">
              <w:t>–</w:t>
            </w:r>
            <w:r w:rsidRPr="00FA6AFD">
              <w:t xml:space="preserve"> A single national framework for reporting company information about greenhouse gas emissions, energy production and energy consumption. The NGER Scheme is administered by the Clean Energy Regulator.</w:t>
            </w:r>
          </w:p>
        </w:tc>
      </w:tr>
      <w:tr w:rsidR="00887B9C" w14:paraId="5988B55A"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262FD8B5" w14:textId="77777777" w:rsidR="00887B9C" w:rsidRDefault="00887B9C">
            <w:r>
              <w:rPr>
                <w:b w:val="0"/>
                <w:bCs/>
                <w:i/>
                <w:iCs/>
              </w:rPr>
              <w:t>Non-attributable processes</w:t>
            </w:r>
          </w:p>
        </w:tc>
        <w:tc>
          <w:tcPr>
            <w:tcW w:w="5755" w:type="dxa"/>
          </w:tcPr>
          <w:p w14:paraId="14995619" w14:textId="10EC456A" w:rsidR="00887B9C" w:rsidRDefault="00887B9C" w:rsidP="005D4935">
            <w:pPr>
              <w:spacing w:after="120"/>
              <w:cnfStyle w:val="000000010000" w:firstRow="0" w:lastRow="0" w:firstColumn="0" w:lastColumn="0" w:oddVBand="0" w:evenVBand="0" w:oddHBand="0" w:evenHBand="1" w:firstRowFirstColumn="0" w:firstRowLastColumn="0" w:lastRowFirstColumn="0" w:lastRowLastColumn="0"/>
            </w:pPr>
            <w:r>
              <w:t xml:space="preserve">Non-attributable processes are determined by the scheme participant in accordance with </w:t>
            </w:r>
            <w:r w:rsidR="001664D7">
              <w:fldChar w:fldCharType="begin"/>
            </w:r>
            <w:r w:rsidR="001664D7">
              <w:instrText xml:space="preserve"> REF _Ref140525409 \r \h </w:instrText>
            </w:r>
            <w:r w:rsidR="001664D7">
              <w:fldChar w:fldCharType="separate"/>
            </w:r>
            <w:r w:rsidR="00785FEC">
              <w:t>Section 1.1.2</w:t>
            </w:r>
            <w:r w:rsidR="001664D7">
              <w:fldChar w:fldCharType="end"/>
            </w:r>
            <w:r>
              <w:t xml:space="preserve">. It is represented throughout equations below by the variable </w:t>
            </w:r>
            <m:oMath>
              <m:r>
                <w:rPr>
                  <w:rFonts w:ascii="Cambria Math" w:hAnsi="Cambria Math"/>
                </w:rPr>
                <m:t>k</m:t>
              </m:r>
            </m:oMath>
            <w:r>
              <w:rPr>
                <w:rFonts w:eastAsiaTheme="minorEastAsia"/>
              </w:rPr>
              <w:t>.</w:t>
            </w:r>
          </w:p>
        </w:tc>
      </w:tr>
      <w:tr w:rsidR="00887B9C" w14:paraId="6CB97371"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6CA22758" w14:textId="77777777" w:rsidR="00887B9C" w:rsidRDefault="00887B9C">
            <w:r>
              <w:rPr>
                <w:b w:val="0"/>
                <w:bCs/>
                <w:i/>
                <w:iCs/>
              </w:rPr>
              <w:t>Operational control</w:t>
            </w:r>
          </w:p>
        </w:tc>
        <w:tc>
          <w:tcPr>
            <w:tcW w:w="5755" w:type="dxa"/>
          </w:tcPr>
          <w:p w14:paraId="23CC3928" w14:textId="77777777" w:rsidR="00887B9C" w:rsidRDefault="00887B9C" w:rsidP="005D4935">
            <w:pPr>
              <w:spacing w:after="120"/>
              <w:cnfStyle w:val="000000100000" w:firstRow="0" w:lastRow="0" w:firstColumn="0" w:lastColumn="0" w:oddVBand="0" w:evenVBand="0" w:oddHBand="1" w:evenHBand="0" w:firstRowFirstColumn="0" w:firstRowLastColumn="0" w:lastRowFirstColumn="0" w:lastRowLastColumn="0"/>
            </w:pPr>
            <w:r>
              <w:t>Operational control has the same definition as in NGER and refers to the core modules within the production boundary. Note that not all modules are required to be controlled.</w:t>
            </w:r>
          </w:p>
        </w:tc>
      </w:tr>
      <w:tr w:rsidR="00DD0AAE" w14:paraId="2EED9D7C"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401A677C" w14:textId="77777777" w:rsidR="00DD0AAE" w:rsidRDefault="00DD0AAE">
            <w:r>
              <w:rPr>
                <w:b w:val="0"/>
                <w:bCs/>
                <w:i/>
                <w:iCs/>
              </w:rPr>
              <w:t>Post-production</w:t>
            </w:r>
          </w:p>
        </w:tc>
        <w:tc>
          <w:tcPr>
            <w:tcW w:w="5755" w:type="dxa"/>
          </w:tcPr>
          <w:p w14:paraId="4CB09FC1" w14:textId="4C0FC040" w:rsidR="00DD0AAE" w:rsidRDefault="00DD0AAE" w:rsidP="005D4935">
            <w:pPr>
              <w:spacing w:after="120"/>
              <w:cnfStyle w:val="000000010000" w:firstRow="0" w:lastRow="0" w:firstColumn="0" w:lastColumn="0" w:oddVBand="0" w:evenVBand="0" w:oddHBand="0" w:evenHBand="1" w:firstRowFirstColumn="0" w:firstRowLastColumn="0" w:lastRowFirstColumn="0" w:lastRowLastColumn="0"/>
            </w:pPr>
            <w:r>
              <w:t xml:space="preserve">Refers to any events or activities that occur after the registered product has left the </w:t>
            </w:r>
            <w:r w:rsidRPr="00C60B4B">
              <w:rPr>
                <w:i/>
                <w:iCs/>
              </w:rPr>
              <w:t>product facility</w:t>
            </w:r>
            <w:r>
              <w:rPr>
                <w:i/>
                <w:iCs/>
              </w:rPr>
              <w:t xml:space="preserve">. </w:t>
            </w:r>
            <w:r w:rsidRPr="000A4296">
              <w:t>This may include some scope 1 and 2 emissions on a facility (not product facility) perspective as the boundaries may be different.</w:t>
            </w:r>
          </w:p>
        </w:tc>
      </w:tr>
      <w:tr w:rsidR="00BB72F7" w14:paraId="723F8E31"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17CA391C" w14:textId="77777777" w:rsidR="00BB72F7" w:rsidRPr="00265000" w:rsidRDefault="00BB72F7">
            <w:pPr>
              <w:rPr>
                <w:b w:val="0"/>
                <w:i/>
              </w:rPr>
            </w:pPr>
            <w:r w:rsidRPr="00265000">
              <w:rPr>
                <w:b w:val="0"/>
                <w:i/>
              </w:rPr>
              <w:t>Post-production boundary</w:t>
            </w:r>
          </w:p>
        </w:tc>
        <w:tc>
          <w:tcPr>
            <w:tcW w:w="5755" w:type="dxa"/>
          </w:tcPr>
          <w:p w14:paraId="43FD94BA" w14:textId="77777777" w:rsidR="00BB72F7" w:rsidRDefault="00BB72F7" w:rsidP="005D4935">
            <w:pPr>
              <w:spacing w:after="120"/>
              <w:cnfStyle w:val="000000100000" w:firstRow="0" w:lastRow="0" w:firstColumn="0" w:lastColumn="0" w:oddVBand="0" w:evenVBand="0" w:oddHBand="1" w:evenHBand="0" w:firstRowFirstColumn="0" w:firstRowLastColumn="0" w:lastRowFirstColumn="0" w:lastRowLastColumn="0"/>
            </w:pPr>
            <w:r w:rsidRPr="00BE5372">
              <w:t>The post-production boundary encompasses the transport and storage steps that may occur to get a registered product from the point of production (production gate) to the point of consumption (delivery gate).</w:t>
            </w:r>
          </w:p>
        </w:tc>
      </w:tr>
      <w:tr w:rsidR="00BB72F7" w14:paraId="57BA8B30"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7B5491CA" w14:textId="77777777" w:rsidR="00BB72F7" w:rsidRPr="00DB42EE" w:rsidRDefault="00BB72F7">
            <w:pPr>
              <w:rPr>
                <w:b w:val="0"/>
                <w:bCs/>
              </w:rPr>
            </w:pPr>
            <w:r w:rsidRPr="00DB42EE">
              <w:rPr>
                <w:b w:val="0"/>
                <w:bCs/>
                <w:i/>
                <w:iCs/>
              </w:rPr>
              <w:t>Process (and sub-process)</w:t>
            </w:r>
          </w:p>
        </w:tc>
        <w:tc>
          <w:tcPr>
            <w:tcW w:w="5755" w:type="dxa"/>
          </w:tcPr>
          <w:p w14:paraId="7669E672" w14:textId="77777777" w:rsidR="00BB72F7" w:rsidRDefault="00BB72F7" w:rsidP="005D4935">
            <w:pPr>
              <w:spacing w:after="120"/>
              <w:cnfStyle w:val="000000010000" w:firstRow="0" w:lastRow="0" w:firstColumn="0" w:lastColumn="0" w:oddVBand="0" w:evenVBand="0" w:oddHBand="0" w:evenHBand="1" w:firstRowFirstColumn="0" w:firstRowLastColumn="0" w:lastRowFirstColumn="0" w:lastRowLastColumn="0"/>
            </w:pPr>
            <w:r>
              <w:t>The components or set of relevant equipment which make up a module.</w:t>
            </w:r>
          </w:p>
        </w:tc>
      </w:tr>
      <w:tr w:rsidR="00BB72F7" w14:paraId="18D5CE84"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6B6F46F5" w14:textId="77777777" w:rsidR="00BB72F7" w:rsidRDefault="00BB72F7">
            <w:r>
              <w:rPr>
                <w:b w:val="0"/>
                <w:bCs/>
                <w:i/>
                <w:iCs/>
              </w:rPr>
              <w:t>Produced quantity</w:t>
            </w:r>
          </w:p>
        </w:tc>
        <w:tc>
          <w:tcPr>
            <w:tcW w:w="5755" w:type="dxa"/>
          </w:tcPr>
          <w:p w14:paraId="2702286E" w14:textId="77777777" w:rsidR="00BB72F7" w:rsidRDefault="00BB72F7" w:rsidP="005D4935">
            <w:pPr>
              <w:spacing w:after="120"/>
              <w:cnfStyle w:val="000000100000" w:firstRow="0" w:lastRow="0" w:firstColumn="0" w:lastColumn="0" w:oddVBand="0" w:evenVBand="0" w:oddHBand="1" w:evenHBand="0" w:firstRowFirstColumn="0" w:firstRowLastColumn="0" w:lastRowFirstColumn="0" w:lastRowLastColumn="0"/>
            </w:pPr>
            <w:r>
              <w:rPr>
                <w:rFonts w:eastAsiaTheme="minorEastAsia"/>
              </w:rPr>
              <w:t>The initial quantity from a batch of registered product prior to accounting for losses from downstream events.</w:t>
            </w:r>
          </w:p>
        </w:tc>
      </w:tr>
      <w:tr w:rsidR="00BB72F7" w14:paraId="6F644AD7"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E7E6E6" w:themeColor="background2"/>
            </w:tcBorders>
          </w:tcPr>
          <w:p w14:paraId="4424C7C7" w14:textId="77777777" w:rsidR="00BB72F7" w:rsidRDefault="00BB72F7">
            <w:r>
              <w:rPr>
                <w:b w:val="0"/>
                <w:bCs/>
                <w:i/>
                <w:iCs/>
              </w:rPr>
              <w:t>P</w:t>
            </w:r>
            <w:r w:rsidRPr="007F74A8">
              <w:rPr>
                <w:b w:val="0"/>
                <w:bCs/>
                <w:i/>
                <w:iCs/>
              </w:rPr>
              <w:t xml:space="preserve">roduct </w:t>
            </w:r>
            <w:r>
              <w:rPr>
                <w:b w:val="0"/>
                <w:bCs/>
                <w:i/>
                <w:iCs/>
              </w:rPr>
              <w:t>F</w:t>
            </w:r>
            <w:r w:rsidRPr="007F74A8">
              <w:rPr>
                <w:b w:val="0"/>
                <w:bCs/>
                <w:i/>
                <w:iCs/>
              </w:rPr>
              <w:t>acility</w:t>
            </w:r>
          </w:p>
        </w:tc>
        <w:tc>
          <w:tcPr>
            <w:tcW w:w="5755" w:type="dxa"/>
            <w:tcBorders>
              <w:top w:val="single" w:sz="4" w:space="0" w:color="E7E6E6" w:themeColor="background2"/>
            </w:tcBorders>
          </w:tcPr>
          <w:p w14:paraId="5210F3C2" w14:textId="6978BCF0" w:rsidR="00BB72F7" w:rsidRDefault="00BB72F7" w:rsidP="005D4935">
            <w:pPr>
              <w:spacing w:after="120"/>
              <w:cnfStyle w:val="000000010000" w:firstRow="0" w:lastRow="0" w:firstColumn="0" w:lastColumn="0" w:oddVBand="0" w:evenVBand="0" w:oddHBand="0" w:evenHBand="1" w:firstRowFirstColumn="0" w:firstRowLastColumn="0" w:lastRowFirstColumn="0" w:lastRowLastColumn="0"/>
            </w:pPr>
            <w:r w:rsidRPr="00796B27">
              <w:t>Refers to</w:t>
            </w:r>
            <w:r>
              <w:t xml:space="preserve"> the group of modules that make up the full production pathway for the registered product. This does not necessarily adhere to operational control of all sub-processes and may require visibility of sub-processes if not under operational control. The minimum components of the product facility for the hydrogen production pathways are set out in </w:t>
            </w:r>
            <w:r w:rsidRPr="00DF082B">
              <w:fldChar w:fldCharType="begin"/>
            </w:r>
            <w:r w:rsidRPr="00DF082B">
              <w:instrText xml:space="preserve"> REF _Ref131083080 \r \h  \* MERGEFORMAT </w:instrText>
            </w:r>
            <w:r w:rsidRPr="00DF082B">
              <w:fldChar w:fldCharType="separate"/>
            </w:r>
            <w:r w:rsidR="00785FEC">
              <w:t>Section 1.1.1</w:t>
            </w:r>
            <w:r w:rsidRPr="00DF082B">
              <w:fldChar w:fldCharType="end"/>
            </w:r>
            <w:r w:rsidRPr="00DF082B">
              <w:t>.</w:t>
            </w:r>
            <w:r>
              <w:t xml:space="preserve"> </w:t>
            </w:r>
          </w:p>
        </w:tc>
      </w:tr>
      <w:tr w:rsidR="0067683A" w14:paraId="38546D19"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17453785" w14:textId="77777777" w:rsidR="0067683A" w:rsidRDefault="0067683A">
            <w:r>
              <w:rPr>
                <w:b w:val="0"/>
                <w:bCs/>
                <w:i/>
                <w:iCs/>
              </w:rPr>
              <w:t>Production boundary</w:t>
            </w:r>
          </w:p>
        </w:tc>
        <w:tc>
          <w:tcPr>
            <w:tcW w:w="5755" w:type="dxa"/>
          </w:tcPr>
          <w:p w14:paraId="556FAD33" w14:textId="073FA226" w:rsidR="0067683A" w:rsidRDefault="0067683A" w:rsidP="005D4935">
            <w:pPr>
              <w:spacing w:after="120"/>
              <w:cnfStyle w:val="000000100000" w:firstRow="0" w:lastRow="0" w:firstColumn="0" w:lastColumn="0" w:oddVBand="0" w:evenVBand="0" w:oddHBand="1" w:evenHBand="0" w:firstRowFirstColumn="0" w:firstRowLastColumn="0" w:lastRowFirstColumn="0" w:lastRowLastColumn="0"/>
            </w:pPr>
            <w:r>
              <w:t>The production boundary refers to the operational stages of the hydrogen product facility for which emissions are to be measured and to which the GO scheme will apply.</w:t>
            </w:r>
          </w:p>
        </w:tc>
      </w:tr>
      <w:tr w:rsidR="00E87469" w14:paraId="24AA4D5A"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75CF82F9" w14:textId="0837C8D9" w:rsidR="00E87469" w:rsidRDefault="00E87469" w:rsidP="002C4300">
            <w:r w:rsidRPr="00DD0B27">
              <w:rPr>
                <w:rFonts w:eastAsiaTheme="minorEastAsia"/>
                <w:b w:val="0"/>
                <w:bCs/>
                <w:i/>
                <w:iCs/>
              </w:rPr>
              <w:t>Production emissions</w:t>
            </w:r>
          </w:p>
        </w:tc>
        <w:tc>
          <w:tcPr>
            <w:tcW w:w="5755" w:type="dxa"/>
          </w:tcPr>
          <w:p w14:paraId="34E08710" w14:textId="222BD931" w:rsidR="00E87469" w:rsidRDefault="00E87469" w:rsidP="005D4935">
            <w:pPr>
              <w:spacing w:after="120"/>
              <w:cnfStyle w:val="000000010000" w:firstRow="0" w:lastRow="0" w:firstColumn="0" w:lastColumn="0" w:oddVBand="0" w:evenVBand="0" w:oddHBand="0" w:evenHBand="1" w:firstRowFirstColumn="0" w:firstRowLastColumn="0" w:lastRowFirstColumn="0" w:lastRowLastColumn="0"/>
            </w:pPr>
            <w:r>
              <w:rPr>
                <w:rFonts w:eastAsiaTheme="minorEastAsia"/>
              </w:rPr>
              <w:t>The upstream, direct and indirect emissions associated with output from the product facility.</w:t>
            </w:r>
          </w:p>
        </w:tc>
      </w:tr>
      <w:tr w:rsidR="00E96DD1" w14:paraId="14743CA5"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61952797" w14:textId="77777777" w:rsidR="00E96DD1" w:rsidRDefault="00E96DD1">
            <w:pPr>
              <w:rPr>
                <w:b w:val="0"/>
                <w:bCs/>
                <w:i/>
                <w:iCs/>
              </w:rPr>
            </w:pPr>
            <w:r>
              <w:rPr>
                <w:b w:val="0"/>
                <w:bCs/>
                <w:i/>
                <w:iCs/>
              </w:rPr>
              <w:t>Production pathways</w:t>
            </w:r>
          </w:p>
        </w:tc>
        <w:tc>
          <w:tcPr>
            <w:tcW w:w="5755" w:type="dxa"/>
          </w:tcPr>
          <w:p w14:paraId="321CC311" w14:textId="6DF05BCA" w:rsidR="00E96DD1" w:rsidRDefault="004E1975" w:rsidP="005D4935">
            <w:pPr>
              <w:spacing w:after="120"/>
              <w:cnfStyle w:val="000000100000" w:firstRow="0" w:lastRow="0" w:firstColumn="0" w:lastColumn="0" w:oddVBand="0" w:evenVBand="0" w:oddHBand="1" w:evenHBand="0" w:firstRowFirstColumn="0" w:firstRowLastColumn="0" w:lastRowFirstColumn="0" w:lastRowLastColumn="0"/>
            </w:pPr>
            <w:r>
              <w:t xml:space="preserve">The methods of </w:t>
            </w:r>
            <w:r w:rsidR="002F4EF0">
              <w:t>producing the registered product</w:t>
            </w:r>
            <w:r w:rsidR="00025288">
              <w:t xml:space="preserve"> eligible for inclusion in the GO scheme</w:t>
            </w:r>
            <w:r w:rsidR="002F4EF0">
              <w:t xml:space="preserve">. </w:t>
            </w:r>
            <w:r w:rsidR="003359C2">
              <w:t xml:space="preserve">Initially </w:t>
            </w:r>
            <w:r>
              <w:t xml:space="preserve">three eligible </w:t>
            </w:r>
            <w:r w:rsidR="000712DD">
              <w:t xml:space="preserve">hydrogen </w:t>
            </w:r>
            <w:r>
              <w:t xml:space="preserve">production pathways </w:t>
            </w:r>
            <w:r w:rsidR="00C90A6D">
              <w:t xml:space="preserve">are </w:t>
            </w:r>
            <w:r>
              <w:t>covered under the GO scheme</w:t>
            </w:r>
            <w:r w:rsidR="00C90A6D">
              <w:t>, namely</w:t>
            </w:r>
            <w:r w:rsidR="000712DD">
              <w:t>,</w:t>
            </w:r>
            <w:r>
              <w:t xml:space="preserve"> </w:t>
            </w:r>
            <w:r w:rsidRPr="007437D7">
              <w:t>electrolysis, steam methane reformation and coal gasification</w:t>
            </w:r>
            <w:r w:rsidR="00C90A6D">
              <w:t>.</w:t>
            </w:r>
          </w:p>
        </w:tc>
      </w:tr>
      <w:tr w:rsidR="00665652" w14:paraId="42806518"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6559076A" w14:textId="14CE71CD" w:rsidR="00665652" w:rsidRDefault="00665652" w:rsidP="002C4300">
            <w:pPr>
              <w:rPr>
                <w:b w:val="0"/>
                <w:bCs/>
                <w:i/>
                <w:iCs/>
              </w:rPr>
            </w:pPr>
            <w:r>
              <w:rPr>
                <w:b w:val="0"/>
                <w:bCs/>
                <w:i/>
                <w:iCs/>
              </w:rPr>
              <w:t>Provenance principle</w:t>
            </w:r>
          </w:p>
        </w:tc>
        <w:tc>
          <w:tcPr>
            <w:tcW w:w="5755" w:type="dxa"/>
          </w:tcPr>
          <w:p w14:paraId="237E61F3" w14:textId="25456295" w:rsidR="00665652" w:rsidRDefault="006E5311" w:rsidP="005D4935">
            <w:pPr>
              <w:spacing w:after="120"/>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 xml:space="preserve">Applies to </w:t>
            </w:r>
            <w:r w:rsidR="00665652" w:rsidRPr="00665652">
              <w:rPr>
                <w:rFonts w:eastAsiaTheme="minorEastAsia"/>
              </w:rPr>
              <w:t>Product GO</w:t>
            </w:r>
            <w:r w:rsidR="003A459E">
              <w:rPr>
                <w:rFonts w:eastAsiaTheme="minorEastAsia"/>
              </w:rPr>
              <w:t xml:space="preserve"> certificat</w:t>
            </w:r>
            <w:r w:rsidR="00D42693">
              <w:rPr>
                <w:rFonts w:eastAsiaTheme="minorEastAsia"/>
              </w:rPr>
              <w:t>ion</w:t>
            </w:r>
            <w:r>
              <w:rPr>
                <w:rFonts w:eastAsiaTheme="minorEastAsia"/>
              </w:rPr>
              <w:t xml:space="preserve"> whereby </w:t>
            </w:r>
            <w:r w:rsidR="00665652" w:rsidRPr="00665652">
              <w:rPr>
                <w:rFonts w:eastAsiaTheme="minorEastAsia"/>
              </w:rPr>
              <w:t>Certificates would be traded alongside the product from production, to transport and storage, and then will note the end consumption.</w:t>
            </w:r>
          </w:p>
        </w:tc>
      </w:tr>
      <w:tr w:rsidR="00E87469" w14:paraId="19C2336C"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bottom w:val="single" w:sz="8" w:space="0" w:color="E7E6E6" w:themeColor="background2"/>
            </w:tcBorders>
          </w:tcPr>
          <w:p w14:paraId="1F86ADB3" w14:textId="07275899" w:rsidR="00E87469" w:rsidRDefault="00EC1738" w:rsidP="002C4300">
            <w:r>
              <w:rPr>
                <w:rFonts w:eastAsiaTheme="minorEastAsia"/>
                <w:b w:val="0"/>
                <w:bCs/>
                <w:i/>
                <w:iCs/>
              </w:rPr>
              <w:t>Registered product</w:t>
            </w:r>
          </w:p>
        </w:tc>
        <w:tc>
          <w:tcPr>
            <w:tcW w:w="5755" w:type="dxa"/>
          </w:tcPr>
          <w:p w14:paraId="0CC26C52" w14:textId="152D6CDC" w:rsidR="00E87469" w:rsidRDefault="00EC1738" w:rsidP="005D4935">
            <w:pPr>
              <w:spacing w:after="120"/>
              <w:cnfStyle w:val="000000100000" w:firstRow="0" w:lastRow="0" w:firstColumn="0" w:lastColumn="0" w:oddVBand="0" w:evenVBand="0" w:oddHBand="1" w:evenHBand="0" w:firstRowFirstColumn="0" w:firstRowLastColumn="0" w:lastRowFirstColumn="0" w:lastRowLastColumn="0"/>
            </w:pPr>
            <w:r>
              <w:rPr>
                <w:rFonts w:eastAsiaTheme="minorEastAsia"/>
              </w:rPr>
              <w:t xml:space="preserve">A product that the </w:t>
            </w:r>
            <w:r w:rsidRPr="003D20D7">
              <w:rPr>
                <w:rFonts w:eastAsiaTheme="minorEastAsia"/>
                <w:i/>
                <w:iCs/>
              </w:rPr>
              <w:t>scheme participant</w:t>
            </w:r>
            <w:r>
              <w:rPr>
                <w:rFonts w:eastAsiaTheme="minorEastAsia"/>
              </w:rPr>
              <w:t xml:space="preserve"> has registered and been approved for by the CER. The registered product is the product, represented by certificates, which the participant is approved to interact with (generating, amending, or consuming) under the GO scheme.</w:t>
            </w:r>
          </w:p>
        </w:tc>
      </w:tr>
      <w:tr w:rsidR="00390F7D" w14:paraId="6BFCFFCA"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top w:val="single" w:sz="8" w:space="0" w:color="E7E6E6" w:themeColor="background2"/>
              <w:bottom w:val="nil"/>
            </w:tcBorders>
          </w:tcPr>
          <w:p w14:paraId="3C08CA38" w14:textId="6049AB4D" w:rsidR="00390F7D" w:rsidRDefault="00390F7D" w:rsidP="002C4300">
            <w:pPr>
              <w:rPr>
                <w:rFonts w:eastAsiaTheme="minorEastAsia"/>
                <w:bCs/>
                <w:i/>
                <w:iCs/>
              </w:rPr>
            </w:pPr>
            <w:r w:rsidRPr="00B6463D">
              <w:rPr>
                <w:rFonts w:eastAsiaTheme="minorEastAsia"/>
                <w:b w:val="0"/>
                <w:bCs/>
                <w:i/>
                <w:iCs/>
              </w:rPr>
              <w:t>Residual mix factor (</w:t>
            </w:r>
            <w:r w:rsidR="00B6463D" w:rsidRPr="00B6463D">
              <w:rPr>
                <w:rFonts w:eastAsiaTheme="minorEastAsia"/>
                <w:b w:val="0"/>
                <w:bCs/>
                <w:i/>
                <w:iCs/>
              </w:rPr>
              <w:t>R</w:t>
            </w:r>
            <w:r w:rsidRPr="00B6463D">
              <w:rPr>
                <w:rFonts w:eastAsiaTheme="minorEastAsia"/>
                <w:b w:val="0"/>
                <w:bCs/>
                <w:i/>
                <w:iCs/>
              </w:rPr>
              <w:t>MF</w:t>
            </w:r>
            <w:r w:rsidR="00B6463D" w:rsidRPr="00B6463D">
              <w:rPr>
                <w:rFonts w:eastAsiaTheme="minorEastAsia"/>
                <w:b w:val="0"/>
                <w:bCs/>
                <w:i/>
                <w:iCs/>
              </w:rPr>
              <w:t>)</w:t>
            </w:r>
          </w:p>
        </w:tc>
        <w:tc>
          <w:tcPr>
            <w:tcW w:w="5755" w:type="dxa"/>
          </w:tcPr>
          <w:p w14:paraId="38428BE1" w14:textId="4828B02C" w:rsidR="00390F7D" w:rsidRDefault="00085302" w:rsidP="005D4935">
            <w:pPr>
              <w:spacing w:after="120"/>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 xml:space="preserve">The Residual mix factor (RMF) </w:t>
            </w:r>
            <w:r w:rsidR="00390F7D" w:rsidRPr="00B6463D">
              <w:rPr>
                <w:rFonts w:eastAsiaTheme="minorEastAsia"/>
              </w:rPr>
              <w:t>is the national factor that is applied to the quantity of electricity without a renewable claim</w:t>
            </w:r>
            <w:r>
              <w:rPr>
                <w:rFonts w:eastAsiaTheme="minorEastAsia"/>
              </w:rPr>
              <w:t>.</w:t>
            </w:r>
          </w:p>
        </w:tc>
      </w:tr>
      <w:tr w:rsidR="00EC1738" w14:paraId="711AA500"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17AB371A" w14:textId="6EB576CA" w:rsidR="00EC1738" w:rsidRDefault="00EC1738" w:rsidP="002C4300">
            <w:pPr>
              <w:rPr>
                <w:rFonts w:eastAsiaTheme="minorEastAsia"/>
                <w:b w:val="0"/>
                <w:bCs/>
                <w:i/>
                <w:iCs/>
              </w:rPr>
            </w:pPr>
            <w:r>
              <w:rPr>
                <w:b w:val="0"/>
                <w:bCs/>
                <w:i/>
                <w:iCs/>
              </w:rPr>
              <w:t>Scheme participant</w:t>
            </w:r>
          </w:p>
        </w:tc>
        <w:tc>
          <w:tcPr>
            <w:tcW w:w="5755" w:type="dxa"/>
          </w:tcPr>
          <w:p w14:paraId="1E6DB08C" w14:textId="3E8BE480" w:rsidR="00EC1738" w:rsidRDefault="00EC1738" w:rsidP="005D4935">
            <w:pPr>
              <w:spacing w:after="120"/>
              <w:cnfStyle w:val="000000100000" w:firstRow="0" w:lastRow="0" w:firstColumn="0" w:lastColumn="0" w:oddVBand="0" w:evenVBand="0" w:oddHBand="1" w:evenHBand="0" w:firstRowFirstColumn="0" w:firstRowLastColumn="0" w:lastRowFirstColumn="0" w:lastRowLastColumn="0"/>
              <w:rPr>
                <w:rFonts w:eastAsiaTheme="minorEastAsia"/>
              </w:rPr>
            </w:pPr>
            <w:r>
              <w:t xml:space="preserve">Scheme participants are the legal entity that has registered to participate in the GO scheme. Scheme participants are the responsible party for compliance with scheme rules. </w:t>
            </w:r>
          </w:p>
        </w:tc>
      </w:tr>
      <w:tr w:rsidR="00EC1738" w14:paraId="384468BA"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34212354" w14:textId="56E9E56B" w:rsidR="00EC1738" w:rsidRDefault="00EC1738" w:rsidP="002C4300">
            <w:pPr>
              <w:rPr>
                <w:b w:val="0"/>
                <w:bCs/>
                <w:i/>
                <w:iCs/>
              </w:rPr>
            </w:pPr>
            <w:r w:rsidRPr="00815379">
              <w:rPr>
                <w:b w:val="0"/>
                <w:bCs/>
                <w:i/>
                <w:iCs/>
              </w:rPr>
              <w:t>Scope 1 emissions</w:t>
            </w:r>
          </w:p>
        </w:tc>
        <w:tc>
          <w:tcPr>
            <w:tcW w:w="5755" w:type="dxa"/>
          </w:tcPr>
          <w:p w14:paraId="76550F99" w14:textId="5899BB56" w:rsidR="00EC1738" w:rsidRDefault="00EC1738" w:rsidP="005D4935">
            <w:pPr>
              <w:spacing w:after="120"/>
              <w:cnfStyle w:val="000000010000" w:firstRow="0" w:lastRow="0" w:firstColumn="0" w:lastColumn="0" w:oddVBand="0" w:evenVBand="0" w:oddHBand="0" w:evenHBand="1" w:firstRowFirstColumn="0" w:firstRowLastColumn="0" w:lastRowFirstColumn="0" w:lastRowLastColumn="0"/>
            </w:pPr>
            <w:r>
              <w:t xml:space="preserve">Has the same meaning as NGER </w:t>
            </w:r>
            <w:r w:rsidR="00350502">
              <w:t>R</w:t>
            </w:r>
            <w:r>
              <w:t xml:space="preserve">egulation 2.23, where facility relates to the </w:t>
            </w:r>
            <w:r w:rsidRPr="003C0388">
              <w:rPr>
                <w:i/>
                <w:iCs/>
              </w:rPr>
              <w:t>Product Facility</w:t>
            </w:r>
          </w:p>
        </w:tc>
      </w:tr>
      <w:tr w:rsidR="00EC1738" w14:paraId="3F05B0FD"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42716A56" w14:textId="128905A7" w:rsidR="00EC1738" w:rsidRPr="00815379" w:rsidRDefault="00EC1738" w:rsidP="002C4300">
            <w:pPr>
              <w:rPr>
                <w:b w:val="0"/>
                <w:bCs/>
                <w:i/>
                <w:iCs/>
              </w:rPr>
            </w:pPr>
            <w:r w:rsidRPr="00815379">
              <w:rPr>
                <w:b w:val="0"/>
                <w:bCs/>
                <w:i/>
                <w:iCs/>
              </w:rPr>
              <w:t>Scope 2 emissions</w:t>
            </w:r>
          </w:p>
        </w:tc>
        <w:tc>
          <w:tcPr>
            <w:tcW w:w="5755" w:type="dxa"/>
          </w:tcPr>
          <w:p w14:paraId="14092CBB" w14:textId="1DF0EB4F" w:rsidR="00EC1738" w:rsidRDefault="00EC1738" w:rsidP="005D4935">
            <w:pPr>
              <w:spacing w:after="120"/>
              <w:cnfStyle w:val="000000100000" w:firstRow="0" w:lastRow="0" w:firstColumn="0" w:lastColumn="0" w:oddVBand="0" w:evenVBand="0" w:oddHBand="1" w:evenHBand="0" w:firstRowFirstColumn="0" w:firstRowLastColumn="0" w:lastRowFirstColumn="0" w:lastRowLastColumn="0"/>
            </w:pPr>
            <w:r>
              <w:t xml:space="preserve">Has the same meaning as NGER </w:t>
            </w:r>
            <w:r w:rsidR="00350502">
              <w:t>R</w:t>
            </w:r>
            <w:r>
              <w:t xml:space="preserve">egulation 2.24, where facility relates to the </w:t>
            </w:r>
            <w:r w:rsidRPr="00742E42">
              <w:rPr>
                <w:i/>
                <w:iCs/>
              </w:rPr>
              <w:t>Product Facility</w:t>
            </w:r>
            <w:r>
              <w:t>.</w:t>
            </w:r>
          </w:p>
        </w:tc>
      </w:tr>
      <w:tr w:rsidR="00EC1738" w14:paraId="106268A7"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E7E6E6" w:themeColor="background2"/>
            </w:tcBorders>
          </w:tcPr>
          <w:p w14:paraId="1ADE8BCE" w14:textId="4B0BEFC3" w:rsidR="00EC1738" w:rsidRPr="00815379" w:rsidRDefault="00EC1738" w:rsidP="002C4300">
            <w:pPr>
              <w:rPr>
                <w:b w:val="0"/>
                <w:bCs/>
                <w:i/>
                <w:iCs/>
              </w:rPr>
            </w:pPr>
            <w:r w:rsidRPr="00815379">
              <w:rPr>
                <w:b w:val="0"/>
                <w:bCs/>
                <w:i/>
                <w:iCs/>
              </w:rPr>
              <w:t>Scope 3 emissions</w:t>
            </w:r>
          </w:p>
        </w:tc>
        <w:tc>
          <w:tcPr>
            <w:tcW w:w="5755" w:type="dxa"/>
            <w:tcBorders>
              <w:bottom w:val="single" w:sz="4" w:space="0" w:color="E7E6E6" w:themeColor="background2"/>
            </w:tcBorders>
          </w:tcPr>
          <w:p w14:paraId="1C5B0480" w14:textId="77777777" w:rsidR="00EC1738" w:rsidRDefault="00EC1738" w:rsidP="00EC1738">
            <w:pPr>
              <w:cnfStyle w:val="000000010000" w:firstRow="0" w:lastRow="0" w:firstColumn="0" w:lastColumn="0" w:oddVBand="0" w:evenVBand="0" w:oddHBand="0" w:evenHBand="1" w:firstRowFirstColumn="0" w:firstRowLastColumn="0" w:lastRowFirstColumn="0" w:lastRowLastColumn="0"/>
            </w:pPr>
            <w:r>
              <w:t xml:space="preserve">These are relevant supply chain emissions relating to emissions which occur outside of the </w:t>
            </w:r>
            <w:r w:rsidRPr="0095236B">
              <w:rPr>
                <w:i/>
                <w:iCs/>
              </w:rPr>
              <w:t>Product Facility</w:t>
            </w:r>
            <w:r>
              <w:t xml:space="preserve"> other than those counted under the definition of scope 2 emissions. Scope 3 emissions may occur:</w:t>
            </w:r>
          </w:p>
          <w:p w14:paraId="6AC85406" w14:textId="77777777" w:rsidR="00EC1738" w:rsidRDefault="00EC1738" w:rsidP="00114278">
            <w:pPr>
              <w:pStyle w:val="ListParagraph"/>
              <w:numPr>
                <w:ilvl w:val="0"/>
                <w:numId w:val="10"/>
              </w:numPr>
              <w:cnfStyle w:val="000000010000" w:firstRow="0" w:lastRow="0" w:firstColumn="0" w:lastColumn="0" w:oddVBand="0" w:evenVBand="0" w:oddHBand="0" w:evenHBand="1" w:firstRowFirstColumn="0" w:firstRowLastColumn="0" w:lastRowFirstColumn="0" w:lastRowLastColumn="0"/>
            </w:pPr>
            <w:r>
              <w:t xml:space="preserve">Upstream, such as the emissions generated in the sourcing of raw materials and products consumed in the </w:t>
            </w:r>
            <w:r w:rsidRPr="006D6883">
              <w:rPr>
                <w:i/>
                <w:iCs/>
              </w:rPr>
              <w:t>product facility</w:t>
            </w:r>
            <w:r>
              <w:t>.</w:t>
            </w:r>
          </w:p>
          <w:p w14:paraId="66A62EE8" w14:textId="5CEDAA8F" w:rsidR="00EC1738" w:rsidRPr="00EC1738" w:rsidRDefault="00EC1738" w:rsidP="006808AD">
            <w:pPr>
              <w:pStyle w:val="ListParagraph"/>
              <w:numPr>
                <w:ilvl w:val="0"/>
                <w:numId w:val="10"/>
              </w:numPr>
              <w:spacing w:after="120"/>
              <w:cnfStyle w:val="000000010000" w:firstRow="0" w:lastRow="0" w:firstColumn="0" w:lastColumn="0" w:oddVBand="0" w:evenVBand="0" w:oddHBand="0" w:evenHBand="1" w:firstRowFirstColumn="0" w:firstRowLastColumn="0" w:lastRowFirstColumn="0" w:lastRowLastColumn="0"/>
            </w:pPr>
            <w:r>
              <w:t xml:space="preserve">Downstream, such as emissions generated through the transportation of products and outsourced activities. This does </w:t>
            </w:r>
            <w:r w:rsidRPr="002B06EF">
              <w:rPr>
                <w:u w:val="single"/>
              </w:rPr>
              <w:t>not</w:t>
            </w:r>
            <w:r>
              <w:t xml:space="preserve"> include the emissions from the consumption of the product.</w:t>
            </w:r>
          </w:p>
        </w:tc>
      </w:tr>
      <w:tr w:rsidR="00EC1738" w14:paraId="6CD48306"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E7E6E6" w:themeColor="background2"/>
              <w:bottom w:val="single" w:sz="4" w:space="0" w:color="E7E6E6" w:themeColor="background2"/>
            </w:tcBorders>
          </w:tcPr>
          <w:p w14:paraId="56F9FC8F" w14:textId="2FB36BA0" w:rsidR="00EC1738" w:rsidRPr="00815379" w:rsidRDefault="00EC1738" w:rsidP="002C4300">
            <w:pPr>
              <w:rPr>
                <w:b w:val="0"/>
                <w:bCs/>
                <w:i/>
                <w:iCs/>
              </w:rPr>
            </w:pPr>
            <w:r w:rsidRPr="007F74A8">
              <w:rPr>
                <w:b w:val="0"/>
                <w:i/>
              </w:rPr>
              <w:t>S</w:t>
            </w:r>
            <w:r>
              <w:rPr>
                <w:b w:val="0"/>
                <w:i/>
              </w:rPr>
              <w:t>hared processes</w:t>
            </w:r>
          </w:p>
        </w:tc>
        <w:tc>
          <w:tcPr>
            <w:tcW w:w="5755" w:type="dxa"/>
            <w:tcBorders>
              <w:top w:val="single" w:sz="4" w:space="0" w:color="E7E6E6" w:themeColor="background2"/>
              <w:bottom w:val="nil"/>
            </w:tcBorders>
          </w:tcPr>
          <w:p w14:paraId="4F5AE373" w14:textId="2FCFD402" w:rsidR="00EC1738" w:rsidRDefault="00EC1738" w:rsidP="005D4935">
            <w:pPr>
              <w:spacing w:after="120"/>
              <w:cnfStyle w:val="000000100000" w:firstRow="0" w:lastRow="0" w:firstColumn="0" w:lastColumn="0" w:oddVBand="0" w:evenVBand="0" w:oddHBand="1" w:evenHBand="0" w:firstRowFirstColumn="0" w:firstRowLastColumn="0" w:lastRowFirstColumn="0" w:lastRowLastColumn="0"/>
            </w:pPr>
            <w:r>
              <w:rPr>
                <w:bCs/>
                <w:iCs/>
              </w:rPr>
              <w:t xml:space="preserve">Shared processes are any processes within the system boundary that </w:t>
            </w:r>
            <w:r>
              <w:t>are used to produce both registered products and co-products.</w:t>
            </w:r>
          </w:p>
        </w:tc>
      </w:tr>
      <w:tr w:rsidR="00EC1738" w14:paraId="54640579" w14:textId="77777777" w:rsidTr="000C7024">
        <w:trPr>
          <w:cnfStyle w:val="000000010000" w:firstRow="0" w:lastRow="0" w:firstColumn="0" w:lastColumn="0" w:oddVBand="0" w:evenVBand="0" w:oddHBand="0" w:evenHBand="1" w:firstRowFirstColumn="0" w:firstRowLastColumn="0" w:lastRowFirstColumn="0" w:lastRowLastColumn="0"/>
          <w:cantSplit w:val="0"/>
          <w:trHeight w:val="68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E7E6E6" w:themeColor="background2"/>
            </w:tcBorders>
            <w:vAlign w:val="center"/>
          </w:tcPr>
          <w:p w14:paraId="1301E689" w14:textId="0B779B14" w:rsidR="00EC1738" w:rsidRPr="00EC1738" w:rsidRDefault="00EC1738" w:rsidP="000B314F">
            <w:pPr>
              <w:rPr>
                <w:b w:val="0"/>
                <w:i/>
              </w:rPr>
            </w:pPr>
            <w:r w:rsidRPr="00EC1738">
              <w:rPr>
                <w:b w:val="0"/>
                <w:i/>
              </w:rPr>
              <w:t>Source</w:t>
            </w:r>
            <w:r w:rsidRPr="00EC1738">
              <w:rPr>
                <w:b w:val="0"/>
              </w:rPr>
              <w:t xml:space="preserve"> – (or </w:t>
            </w:r>
            <w:r w:rsidRPr="00EC1738">
              <w:rPr>
                <w:b w:val="0"/>
                <w:i/>
                <w:iCs/>
              </w:rPr>
              <w:t>emissions source</w:t>
            </w:r>
            <w:r w:rsidRPr="00EC1738">
              <w:rPr>
                <w:b w:val="0"/>
              </w:rPr>
              <w:t>)</w:t>
            </w:r>
          </w:p>
        </w:tc>
        <w:tc>
          <w:tcPr>
            <w:tcW w:w="5755" w:type="dxa"/>
            <w:vAlign w:val="center"/>
          </w:tcPr>
          <w:p w14:paraId="4AF5D7C9" w14:textId="4DC155D7" w:rsidR="00EC1738" w:rsidRPr="00EC1738" w:rsidRDefault="00EC1738" w:rsidP="00B7601C">
            <w:pPr>
              <w:spacing w:after="120"/>
              <w:cnfStyle w:val="000000010000" w:firstRow="0" w:lastRow="0" w:firstColumn="0" w:lastColumn="0" w:oddVBand="0" w:evenVBand="0" w:oddHBand="0" w:evenHBand="1" w:firstRowFirstColumn="0" w:firstRowLastColumn="0" w:lastRowFirstColumn="0" w:lastRowLastColumn="0"/>
            </w:pPr>
            <w:r>
              <w:t>is source, aligned with the definition in NGER, with additional sources specifically related to the expanded scope of the scheme over NGER (i.e., importing scope 3 emissions from a producer perspective).</w:t>
            </w:r>
          </w:p>
        </w:tc>
      </w:tr>
      <w:tr w:rsidR="00203707" w14:paraId="44A5754D"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1BD919B9" w14:textId="77777777" w:rsidR="00203707" w:rsidRPr="00AD5F3B" w:rsidRDefault="00203707">
            <w:pPr>
              <w:rPr>
                <w:b w:val="0"/>
                <w:i/>
              </w:rPr>
            </w:pPr>
            <w:r w:rsidRPr="00AD5F3B">
              <w:rPr>
                <w:b w:val="0"/>
                <w:i/>
              </w:rPr>
              <w:t>Steam methane reformation</w:t>
            </w:r>
          </w:p>
        </w:tc>
        <w:tc>
          <w:tcPr>
            <w:tcW w:w="5755" w:type="dxa"/>
          </w:tcPr>
          <w:p w14:paraId="72BC80C8" w14:textId="77777777" w:rsidR="00203707" w:rsidRDefault="00203707" w:rsidP="005D4935">
            <w:pPr>
              <w:spacing w:after="120"/>
              <w:cnfStyle w:val="000000100000" w:firstRow="0" w:lastRow="0" w:firstColumn="0" w:lastColumn="0" w:oddVBand="0" w:evenVBand="0" w:oddHBand="1" w:evenHBand="0" w:firstRowFirstColumn="0" w:firstRowLastColumn="0" w:lastRowFirstColumn="0" w:lastRowLastColumn="0"/>
            </w:pPr>
            <w:r>
              <w:t xml:space="preserve">The </w:t>
            </w:r>
            <w:r w:rsidRPr="00BC54E5">
              <w:t>process in which methane from natural gas is heated, with steam, usually with a catalyst, to produce a mixture of carbon monoxide and hydrogen used in organic synthesis and as a fuel</w:t>
            </w:r>
            <w:r>
              <w:t>.</w:t>
            </w:r>
          </w:p>
        </w:tc>
      </w:tr>
      <w:tr w:rsidR="00EC1738" w14:paraId="5FC65497"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0AC06720" w14:textId="5BA60BD9" w:rsidR="00EC1738" w:rsidRPr="00EC1738" w:rsidRDefault="00EC1738" w:rsidP="002C4300">
            <w:pPr>
              <w:rPr>
                <w:b w:val="0"/>
                <w:i/>
              </w:rPr>
            </w:pPr>
            <w:r>
              <w:rPr>
                <w:b w:val="0"/>
                <w:bCs/>
                <w:i/>
                <w:iCs/>
              </w:rPr>
              <w:t>System boundary</w:t>
            </w:r>
          </w:p>
        </w:tc>
        <w:tc>
          <w:tcPr>
            <w:tcW w:w="5755" w:type="dxa"/>
          </w:tcPr>
          <w:p w14:paraId="1240ECBA" w14:textId="39F9D537" w:rsidR="00EC1738" w:rsidRDefault="00EC1738" w:rsidP="005D4935">
            <w:pPr>
              <w:spacing w:after="120"/>
              <w:cnfStyle w:val="000000010000" w:firstRow="0" w:lastRow="0" w:firstColumn="0" w:lastColumn="0" w:oddVBand="0" w:evenVBand="0" w:oddHBand="0" w:evenHBand="1" w:firstRowFirstColumn="0" w:firstRowLastColumn="0" w:lastRowFirstColumn="0" w:lastRowLastColumn="0"/>
            </w:pPr>
            <w:r>
              <w:t>The system boundary for the GO scheme is based on the IPHE definition of cradle to user. This definition has been expanded on in this paper to provide a practical interpretation of the system boundary for the GO scheme’s operation. The system boundary encompasses the operational and temporal boundaries.</w:t>
            </w:r>
          </w:p>
        </w:tc>
      </w:tr>
      <w:tr w:rsidR="00EC1738" w14:paraId="10E9DC9E"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7C562396" w14:textId="05594BB9" w:rsidR="00EC1738" w:rsidRDefault="00EC1738" w:rsidP="002C4300">
            <w:pPr>
              <w:rPr>
                <w:b w:val="0"/>
                <w:bCs/>
                <w:i/>
                <w:iCs/>
              </w:rPr>
            </w:pPr>
            <w:r>
              <w:rPr>
                <w:b w:val="0"/>
                <w:bCs/>
                <w:i/>
                <w:iCs/>
              </w:rPr>
              <w:t>Temporal boundary</w:t>
            </w:r>
          </w:p>
        </w:tc>
        <w:tc>
          <w:tcPr>
            <w:tcW w:w="5755" w:type="dxa"/>
          </w:tcPr>
          <w:p w14:paraId="0FA03A51" w14:textId="127C0923" w:rsidR="00EC1738" w:rsidRDefault="00EC1738" w:rsidP="005D4935">
            <w:pPr>
              <w:spacing w:after="120"/>
              <w:cnfStyle w:val="000000100000" w:firstRow="0" w:lastRow="0" w:firstColumn="0" w:lastColumn="0" w:oddVBand="0" w:evenVBand="0" w:oddHBand="1" w:evenHBand="0" w:firstRowFirstColumn="0" w:firstRowLastColumn="0" w:lastRowFirstColumn="0" w:lastRowLastColumn="0"/>
            </w:pPr>
            <w:r>
              <w:t>The temporal boundary is the period of time over which the batch period has been set which sets out the temporal limits of the emissions accounting framework.</w:t>
            </w:r>
          </w:p>
        </w:tc>
      </w:tr>
      <w:tr w:rsidR="00540BC4" w14:paraId="0B314D27"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11EF7A4C" w14:textId="77777777" w:rsidR="00540BC4" w:rsidRDefault="00540BC4">
            <w:pPr>
              <w:rPr>
                <w:b w:val="0"/>
                <w:bCs/>
                <w:i/>
              </w:rPr>
            </w:pPr>
            <w:r>
              <w:rPr>
                <w:b w:val="0"/>
                <w:bCs/>
                <w:i/>
              </w:rPr>
              <w:t>T</w:t>
            </w:r>
            <w:r w:rsidRPr="00375374">
              <w:rPr>
                <w:b w:val="0"/>
                <w:bCs/>
                <w:i/>
              </w:rPr>
              <w:t>wenty-foot equivalent unit</w:t>
            </w:r>
            <w:r>
              <w:rPr>
                <w:b w:val="0"/>
                <w:bCs/>
                <w:i/>
              </w:rPr>
              <w:t xml:space="preserve"> (TEU)</w:t>
            </w:r>
          </w:p>
        </w:tc>
        <w:tc>
          <w:tcPr>
            <w:tcW w:w="5755" w:type="dxa"/>
          </w:tcPr>
          <w:p w14:paraId="2B336916" w14:textId="67201599" w:rsidR="00540BC4" w:rsidRPr="00D46725" w:rsidRDefault="00540BC4">
            <w:pPr>
              <w:cnfStyle w:val="000000010000" w:firstRow="0" w:lastRow="0" w:firstColumn="0" w:lastColumn="0" w:oddVBand="0" w:evenVBand="0" w:oddHBand="0" w:evenHBand="1" w:firstRowFirstColumn="0" w:firstRowLastColumn="0" w:lastRowFirstColumn="0" w:lastRowLastColumn="0"/>
            </w:pPr>
            <w:r w:rsidRPr="00D46725">
              <w:t>A TEU or Twenty-foot Equivalent Unit is an exact unit of measurement used to determine cargo capacity for container ships and terminals.</w:t>
            </w:r>
          </w:p>
          <w:p w14:paraId="6E5342A9" w14:textId="77777777" w:rsidR="00540BC4" w:rsidRPr="006562AA" w:rsidRDefault="00540BC4" w:rsidP="005D4935">
            <w:pPr>
              <w:spacing w:after="120"/>
              <w:cnfStyle w:val="000000010000" w:firstRow="0" w:lastRow="0" w:firstColumn="0" w:lastColumn="0" w:oddVBand="0" w:evenVBand="0" w:oddHBand="0" w:evenHBand="1" w:firstRowFirstColumn="0" w:firstRowLastColumn="0" w:lastRowFirstColumn="0" w:lastRowLastColumn="0"/>
            </w:pPr>
            <w:r w:rsidRPr="00D46725">
              <w:t>This measurement is derived from the dimensions of a 20ft standardized shipping container. Because standard containers can be 20 or 40ft in length the capacity of a container ship can depend on the ratio of the two sizes.</w:t>
            </w:r>
          </w:p>
        </w:tc>
      </w:tr>
      <w:tr w:rsidR="00EC1738" w14:paraId="64C2F04E" w14:textId="77777777" w:rsidTr="000C7024">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Pr>
          <w:p w14:paraId="0F1DAC6E" w14:textId="0D20057C" w:rsidR="00EC1738" w:rsidRDefault="00EC1738" w:rsidP="002C4300">
            <w:pPr>
              <w:rPr>
                <w:b w:val="0"/>
                <w:bCs/>
                <w:i/>
                <w:iCs/>
              </w:rPr>
            </w:pPr>
            <w:r>
              <w:rPr>
                <w:b w:val="0"/>
                <w:bCs/>
                <w:i/>
                <w:iCs/>
              </w:rPr>
              <w:t>Upstream</w:t>
            </w:r>
          </w:p>
        </w:tc>
        <w:tc>
          <w:tcPr>
            <w:tcW w:w="5755" w:type="dxa"/>
          </w:tcPr>
          <w:p w14:paraId="006CB0B0" w14:textId="441FF370" w:rsidR="00EC1738" w:rsidRDefault="00EC1738" w:rsidP="005D4935">
            <w:pPr>
              <w:spacing w:after="120"/>
              <w:cnfStyle w:val="000000100000" w:firstRow="0" w:lastRow="0" w:firstColumn="0" w:lastColumn="0" w:oddVBand="0" w:evenVBand="0" w:oddHBand="1" w:evenHBand="0" w:firstRowFirstColumn="0" w:firstRowLastColumn="0" w:lastRowFirstColumn="0" w:lastRowLastColumn="0"/>
            </w:pPr>
            <w:r>
              <w:t xml:space="preserve">Refers to events or activities that occur prior to the registered product being produced. This mostly covers emissions events related to extraction and transport for inputs consumed within the </w:t>
            </w:r>
            <w:r w:rsidRPr="002F23B6">
              <w:rPr>
                <w:i/>
                <w:iCs/>
              </w:rPr>
              <w:t>product facility</w:t>
            </w:r>
            <w:r>
              <w:t>.</w:t>
            </w:r>
          </w:p>
        </w:tc>
      </w:tr>
      <w:tr w:rsidR="009507FE" w14:paraId="3AE19549" w14:textId="77777777" w:rsidTr="000C702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261" w:type="dxa"/>
            <w:tcBorders>
              <w:bottom w:val="single" w:sz="18" w:space="0" w:color="ED7D31" w:themeColor="accent2"/>
            </w:tcBorders>
          </w:tcPr>
          <w:p w14:paraId="53938132" w14:textId="77777777" w:rsidR="009507FE" w:rsidRDefault="009507FE">
            <w:pPr>
              <w:rPr>
                <w:b w:val="0"/>
                <w:i/>
              </w:rPr>
            </w:pPr>
          </w:p>
        </w:tc>
        <w:tc>
          <w:tcPr>
            <w:tcW w:w="5755" w:type="dxa"/>
            <w:tcBorders>
              <w:bottom w:val="single" w:sz="18" w:space="0" w:color="ED7D31" w:themeColor="accent2"/>
            </w:tcBorders>
          </w:tcPr>
          <w:p w14:paraId="5CD0372D" w14:textId="77777777" w:rsidR="009507FE" w:rsidRPr="009507FE" w:rsidRDefault="009507FE" w:rsidP="00D46725">
            <w:pPr>
              <w:cnfStyle w:val="000000010000" w:firstRow="0" w:lastRow="0" w:firstColumn="0" w:lastColumn="0" w:oddVBand="0" w:evenVBand="0" w:oddHBand="0" w:evenHBand="1" w:firstRowFirstColumn="0" w:firstRowLastColumn="0" w:lastRowFirstColumn="0" w:lastRowLastColumn="0"/>
            </w:pPr>
          </w:p>
        </w:tc>
      </w:tr>
    </w:tbl>
    <w:p w14:paraId="2699F6D0" w14:textId="64147022" w:rsidR="001B6EFC" w:rsidRPr="003016BA" w:rsidRDefault="001B6EFC" w:rsidP="001B6EFC"/>
    <w:sectPr w:rsidR="001B6EFC" w:rsidRPr="003016BA" w:rsidSect="00D102FA">
      <w:footerReference w:type="default" r:id="rId2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DD81A" w14:textId="77777777" w:rsidR="00FF0EE1" w:rsidRDefault="00FF0EE1" w:rsidP="00696ED2">
      <w:pPr>
        <w:spacing w:after="0" w:line="240" w:lineRule="auto"/>
      </w:pPr>
      <w:r>
        <w:separator/>
      </w:r>
    </w:p>
  </w:endnote>
  <w:endnote w:type="continuationSeparator" w:id="0">
    <w:p w14:paraId="11AB0D16" w14:textId="77777777" w:rsidR="00FF0EE1" w:rsidRDefault="00FF0EE1" w:rsidP="00696ED2">
      <w:pPr>
        <w:spacing w:after="0" w:line="240" w:lineRule="auto"/>
      </w:pPr>
      <w:r>
        <w:continuationSeparator/>
      </w:r>
    </w:p>
  </w:endnote>
  <w:endnote w:type="continuationNotice" w:id="1">
    <w:p w14:paraId="2AD6E375" w14:textId="77777777" w:rsidR="00FF0EE1" w:rsidRDefault="00FF0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34233"/>
      <w:docPartObj>
        <w:docPartGallery w:val="Page Numbers (Bottom of Page)"/>
        <w:docPartUnique/>
      </w:docPartObj>
    </w:sdtPr>
    <w:sdtEndPr>
      <w:rPr>
        <w:noProof/>
      </w:rPr>
    </w:sdtEndPr>
    <w:sdtContent>
      <w:p w14:paraId="672F4D93" w14:textId="70DACF4D" w:rsidR="008766E6" w:rsidRDefault="008766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E59293" w14:textId="77777777" w:rsidR="00766A87" w:rsidRDefault="00766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D28CC" w14:textId="77777777" w:rsidR="00FF0EE1" w:rsidRDefault="00FF0EE1" w:rsidP="00696ED2">
      <w:pPr>
        <w:spacing w:after="0" w:line="240" w:lineRule="auto"/>
      </w:pPr>
      <w:r>
        <w:separator/>
      </w:r>
    </w:p>
  </w:footnote>
  <w:footnote w:type="continuationSeparator" w:id="0">
    <w:p w14:paraId="5B6AFC39" w14:textId="77777777" w:rsidR="00FF0EE1" w:rsidRDefault="00FF0EE1" w:rsidP="00696ED2">
      <w:pPr>
        <w:spacing w:after="0" w:line="240" w:lineRule="auto"/>
      </w:pPr>
      <w:r>
        <w:continuationSeparator/>
      </w:r>
    </w:p>
  </w:footnote>
  <w:footnote w:type="continuationNotice" w:id="1">
    <w:p w14:paraId="681B21E3" w14:textId="77777777" w:rsidR="00FF0EE1" w:rsidRDefault="00FF0EE1">
      <w:pPr>
        <w:spacing w:after="0" w:line="240" w:lineRule="auto"/>
      </w:pPr>
    </w:p>
  </w:footnote>
  <w:footnote w:id="2">
    <w:p w14:paraId="63E4057C" w14:textId="1EC66A2D" w:rsidR="00A9593F" w:rsidRDefault="00A9593F">
      <w:pPr>
        <w:pStyle w:val="FootnoteText"/>
      </w:pPr>
      <w:r>
        <w:rPr>
          <w:rStyle w:val="FootnoteReference"/>
        </w:rPr>
        <w:footnoteRef/>
      </w:r>
      <w:r>
        <w:t xml:space="preserve"> </w:t>
      </w:r>
      <w:hyperlink r:id="rId1" w:history="1">
        <w:r>
          <w:rPr>
            <w:rStyle w:val="Hyperlink"/>
          </w:rPr>
          <w:t>Australian National Greenhouse Accounts Factors (dcceew.gov.au)</w:t>
        </w:r>
      </w:hyperlink>
    </w:p>
  </w:footnote>
  <w:footnote w:id="3">
    <w:p w14:paraId="4B6926C6" w14:textId="322283A8" w:rsidR="00B57DC8" w:rsidRDefault="00B57DC8">
      <w:pPr>
        <w:pStyle w:val="FootnoteText"/>
      </w:pPr>
      <w:r>
        <w:rPr>
          <w:rStyle w:val="FootnoteReference"/>
        </w:rPr>
        <w:footnoteRef/>
      </w:r>
      <w:r>
        <w:t xml:space="preserve"> </w:t>
      </w:r>
      <w:hyperlink r:id="rId2" w:history="1">
        <w:r w:rsidR="00640072">
          <w:rPr>
            <w:rStyle w:val="Hyperlink"/>
          </w:rPr>
          <w:t>National Greenhouse and Energy Reporting (Measurement) Determination 2008 (legislation.gov.au)</w:t>
        </w:r>
      </w:hyperlink>
    </w:p>
  </w:footnote>
  <w:footnote w:id="4">
    <w:p w14:paraId="4DDF5B83" w14:textId="77777777" w:rsidR="00E94281" w:rsidRDefault="00E94281" w:rsidP="00E94281">
      <w:pPr>
        <w:pStyle w:val="FootnoteText"/>
      </w:pPr>
      <w:r>
        <w:rPr>
          <w:rStyle w:val="FootnoteReference"/>
        </w:rPr>
        <w:footnoteRef/>
      </w:r>
      <w:r>
        <w:t xml:space="preserve"> </w:t>
      </w:r>
      <w:hyperlink r:id="rId3" w:history="1">
        <w:r w:rsidRPr="00A36C29">
          <w:rPr>
            <w:rStyle w:val="Hyperlink"/>
          </w:rPr>
          <w:t>https://www.auslci.com.au/Datasets/EmissionFactors/AusLCI_1.42_EF_Published.xlsx</w:t>
        </w:r>
      </w:hyperlink>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206"/>
    <w:multiLevelType w:val="hybridMultilevel"/>
    <w:tmpl w:val="7C7C3D46"/>
    <w:lvl w:ilvl="0" w:tplc="FFFFFFFF">
      <w:start w:val="1"/>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164AA"/>
    <w:multiLevelType w:val="hybridMultilevel"/>
    <w:tmpl w:val="0FE4E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73B86"/>
    <w:multiLevelType w:val="hybridMultilevel"/>
    <w:tmpl w:val="223EE9C8"/>
    <w:lvl w:ilvl="0" w:tplc="C80E4714">
      <w:start w:val="2"/>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FF62F0"/>
    <w:multiLevelType w:val="hybridMultilevel"/>
    <w:tmpl w:val="0A3A8FA2"/>
    <w:lvl w:ilvl="0" w:tplc="E36889C0">
      <w:numFmt w:val="bullet"/>
      <w:lvlText w:val="-"/>
      <w:lvlJc w:val="left"/>
      <w:pPr>
        <w:ind w:left="360" w:hanging="360"/>
      </w:pPr>
      <w:rPr>
        <w:rFonts w:ascii="Calibri" w:eastAsiaTheme="minorHAnsi" w:hAnsi="Calibri" w:cs="Calibr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2556950"/>
    <w:multiLevelType w:val="hybridMultilevel"/>
    <w:tmpl w:val="488A6DF0"/>
    <w:lvl w:ilvl="0" w:tplc="F5FA3C0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5D1CEF"/>
    <w:multiLevelType w:val="hybridMultilevel"/>
    <w:tmpl w:val="6C28AB5E"/>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2D3E8A"/>
    <w:multiLevelType w:val="hybridMultilevel"/>
    <w:tmpl w:val="594E8364"/>
    <w:lvl w:ilvl="0" w:tplc="0840CB0A">
      <w:start w:val="1"/>
      <w:numFmt w:val="bullet"/>
      <w:lvlText w:val=""/>
      <w:lvlJc w:val="left"/>
      <w:pPr>
        <w:ind w:left="720" w:hanging="360"/>
      </w:pPr>
      <w:rPr>
        <w:rFonts w:ascii="Symbol" w:hAnsi="Symbol" w:hint="default"/>
      </w:rPr>
    </w:lvl>
    <w:lvl w:ilvl="1" w:tplc="E974CD04">
      <w:start w:val="1"/>
      <w:numFmt w:val="bullet"/>
      <w:lvlText w:val="o"/>
      <w:lvlJc w:val="left"/>
      <w:pPr>
        <w:ind w:left="1440" w:hanging="360"/>
      </w:pPr>
      <w:rPr>
        <w:rFonts w:ascii="Courier New" w:hAnsi="Courier New" w:hint="default"/>
      </w:rPr>
    </w:lvl>
    <w:lvl w:ilvl="2" w:tplc="8C56231C">
      <w:start w:val="1"/>
      <w:numFmt w:val="bullet"/>
      <w:lvlText w:val=""/>
      <w:lvlJc w:val="left"/>
      <w:pPr>
        <w:ind w:left="2160" w:hanging="360"/>
      </w:pPr>
      <w:rPr>
        <w:rFonts w:ascii="Wingdings" w:hAnsi="Wingdings" w:hint="default"/>
      </w:rPr>
    </w:lvl>
    <w:lvl w:ilvl="3" w:tplc="39F828E4">
      <w:start w:val="1"/>
      <w:numFmt w:val="bullet"/>
      <w:lvlText w:val=""/>
      <w:lvlJc w:val="left"/>
      <w:pPr>
        <w:ind w:left="2880" w:hanging="360"/>
      </w:pPr>
      <w:rPr>
        <w:rFonts w:ascii="Symbol" w:hAnsi="Symbol" w:hint="default"/>
      </w:rPr>
    </w:lvl>
    <w:lvl w:ilvl="4" w:tplc="1E261EF4">
      <w:start w:val="1"/>
      <w:numFmt w:val="bullet"/>
      <w:lvlText w:val="o"/>
      <w:lvlJc w:val="left"/>
      <w:pPr>
        <w:ind w:left="3600" w:hanging="360"/>
      </w:pPr>
      <w:rPr>
        <w:rFonts w:ascii="Courier New" w:hAnsi="Courier New" w:hint="default"/>
      </w:rPr>
    </w:lvl>
    <w:lvl w:ilvl="5" w:tplc="C47C5D60">
      <w:start w:val="1"/>
      <w:numFmt w:val="bullet"/>
      <w:lvlText w:val=""/>
      <w:lvlJc w:val="left"/>
      <w:pPr>
        <w:ind w:left="4320" w:hanging="360"/>
      </w:pPr>
      <w:rPr>
        <w:rFonts w:ascii="Wingdings" w:hAnsi="Wingdings" w:hint="default"/>
      </w:rPr>
    </w:lvl>
    <w:lvl w:ilvl="6" w:tplc="AA587EC8">
      <w:start w:val="1"/>
      <w:numFmt w:val="bullet"/>
      <w:lvlText w:val=""/>
      <w:lvlJc w:val="left"/>
      <w:pPr>
        <w:ind w:left="5040" w:hanging="360"/>
      </w:pPr>
      <w:rPr>
        <w:rFonts w:ascii="Symbol" w:hAnsi="Symbol" w:hint="default"/>
      </w:rPr>
    </w:lvl>
    <w:lvl w:ilvl="7" w:tplc="5600ABF8">
      <w:start w:val="1"/>
      <w:numFmt w:val="bullet"/>
      <w:lvlText w:val="o"/>
      <w:lvlJc w:val="left"/>
      <w:pPr>
        <w:ind w:left="5760" w:hanging="360"/>
      </w:pPr>
      <w:rPr>
        <w:rFonts w:ascii="Courier New" w:hAnsi="Courier New" w:hint="default"/>
      </w:rPr>
    </w:lvl>
    <w:lvl w:ilvl="8" w:tplc="D6D40000">
      <w:start w:val="1"/>
      <w:numFmt w:val="bullet"/>
      <w:lvlText w:val=""/>
      <w:lvlJc w:val="left"/>
      <w:pPr>
        <w:ind w:left="6480" w:hanging="360"/>
      </w:pPr>
      <w:rPr>
        <w:rFonts w:ascii="Wingdings" w:hAnsi="Wingdings" w:hint="default"/>
      </w:rPr>
    </w:lvl>
  </w:abstractNum>
  <w:abstractNum w:abstractNumId="7" w15:restartNumberingAfterBreak="0">
    <w:nsid w:val="197B3063"/>
    <w:multiLevelType w:val="hybridMultilevel"/>
    <w:tmpl w:val="20967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F52B14"/>
    <w:multiLevelType w:val="hybridMultilevel"/>
    <w:tmpl w:val="5FE69844"/>
    <w:lvl w:ilvl="0" w:tplc="E00485E6">
      <w:numFmt w:val="bullet"/>
      <w:lvlText w:val="-"/>
      <w:lvlJc w:val="left"/>
      <w:pPr>
        <w:ind w:left="720" w:hanging="360"/>
      </w:pPr>
      <w:rPr>
        <w:rFonts w:ascii="Calibri" w:eastAsia="Cambr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2AC9A6"/>
    <w:multiLevelType w:val="hybridMultilevel"/>
    <w:tmpl w:val="1EBEDBA4"/>
    <w:lvl w:ilvl="0" w:tplc="9AB211AE">
      <w:start w:val="1"/>
      <w:numFmt w:val="bullet"/>
      <w:lvlText w:val="-"/>
      <w:lvlJc w:val="left"/>
      <w:pPr>
        <w:ind w:left="720" w:hanging="360"/>
      </w:pPr>
      <w:rPr>
        <w:rFonts w:ascii="Calibri" w:hAnsi="Calibri" w:hint="default"/>
      </w:rPr>
    </w:lvl>
    <w:lvl w:ilvl="1" w:tplc="AC9A03E2">
      <w:start w:val="1"/>
      <w:numFmt w:val="bullet"/>
      <w:lvlText w:val="o"/>
      <w:lvlJc w:val="left"/>
      <w:pPr>
        <w:ind w:left="1440" w:hanging="360"/>
      </w:pPr>
      <w:rPr>
        <w:rFonts w:ascii="Courier New" w:hAnsi="Courier New" w:hint="default"/>
      </w:rPr>
    </w:lvl>
    <w:lvl w:ilvl="2" w:tplc="70A83D22">
      <w:start w:val="1"/>
      <w:numFmt w:val="bullet"/>
      <w:lvlText w:val=""/>
      <w:lvlJc w:val="left"/>
      <w:pPr>
        <w:ind w:left="2160" w:hanging="360"/>
      </w:pPr>
      <w:rPr>
        <w:rFonts w:ascii="Wingdings" w:hAnsi="Wingdings" w:hint="default"/>
      </w:rPr>
    </w:lvl>
    <w:lvl w:ilvl="3" w:tplc="BFEA2686">
      <w:start w:val="1"/>
      <w:numFmt w:val="bullet"/>
      <w:lvlText w:val=""/>
      <w:lvlJc w:val="left"/>
      <w:pPr>
        <w:ind w:left="2880" w:hanging="360"/>
      </w:pPr>
      <w:rPr>
        <w:rFonts w:ascii="Symbol" w:hAnsi="Symbol" w:hint="default"/>
      </w:rPr>
    </w:lvl>
    <w:lvl w:ilvl="4" w:tplc="623C0FE0">
      <w:start w:val="1"/>
      <w:numFmt w:val="bullet"/>
      <w:lvlText w:val="o"/>
      <w:lvlJc w:val="left"/>
      <w:pPr>
        <w:ind w:left="3600" w:hanging="360"/>
      </w:pPr>
      <w:rPr>
        <w:rFonts w:ascii="Courier New" w:hAnsi="Courier New" w:hint="default"/>
      </w:rPr>
    </w:lvl>
    <w:lvl w:ilvl="5" w:tplc="796E0A1E">
      <w:start w:val="1"/>
      <w:numFmt w:val="bullet"/>
      <w:lvlText w:val=""/>
      <w:lvlJc w:val="left"/>
      <w:pPr>
        <w:ind w:left="4320" w:hanging="360"/>
      </w:pPr>
      <w:rPr>
        <w:rFonts w:ascii="Wingdings" w:hAnsi="Wingdings" w:hint="default"/>
      </w:rPr>
    </w:lvl>
    <w:lvl w:ilvl="6" w:tplc="824AB680">
      <w:start w:val="1"/>
      <w:numFmt w:val="bullet"/>
      <w:lvlText w:val=""/>
      <w:lvlJc w:val="left"/>
      <w:pPr>
        <w:ind w:left="5040" w:hanging="360"/>
      </w:pPr>
      <w:rPr>
        <w:rFonts w:ascii="Symbol" w:hAnsi="Symbol" w:hint="default"/>
      </w:rPr>
    </w:lvl>
    <w:lvl w:ilvl="7" w:tplc="C0448E26">
      <w:start w:val="1"/>
      <w:numFmt w:val="bullet"/>
      <w:lvlText w:val="o"/>
      <w:lvlJc w:val="left"/>
      <w:pPr>
        <w:ind w:left="5760" w:hanging="360"/>
      </w:pPr>
      <w:rPr>
        <w:rFonts w:ascii="Courier New" w:hAnsi="Courier New" w:hint="default"/>
      </w:rPr>
    </w:lvl>
    <w:lvl w:ilvl="8" w:tplc="B7FA852A">
      <w:start w:val="1"/>
      <w:numFmt w:val="bullet"/>
      <w:lvlText w:val=""/>
      <w:lvlJc w:val="left"/>
      <w:pPr>
        <w:ind w:left="6480" w:hanging="360"/>
      </w:pPr>
      <w:rPr>
        <w:rFonts w:ascii="Wingdings" w:hAnsi="Wingdings" w:hint="default"/>
      </w:rPr>
    </w:lvl>
  </w:abstractNum>
  <w:abstractNum w:abstractNumId="10" w15:restartNumberingAfterBreak="0">
    <w:nsid w:val="29320B06"/>
    <w:multiLevelType w:val="hybridMultilevel"/>
    <w:tmpl w:val="98A6A03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65249B"/>
    <w:multiLevelType w:val="hybridMultilevel"/>
    <w:tmpl w:val="B8DA315C"/>
    <w:lvl w:ilvl="0" w:tplc="F9FAB4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56247E"/>
    <w:multiLevelType w:val="hybridMultilevel"/>
    <w:tmpl w:val="056E8DBE"/>
    <w:lvl w:ilvl="0" w:tplc="4D54277A">
      <w:start w:val="1"/>
      <w:numFmt w:val="bullet"/>
      <w:lvlText w:val="-"/>
      <w:lvlJc w:val="left"/>
      <w:pPr>
        <w:ind w:left="720" w:hanging="360"/>
      </w:pPr>
      <w:rPr>
        <w:rFonts w:ascii="Calibri" w:hAnsi="Calibri" w:hint="default"/>
      </w:rPr>
    </w:lvl>
    <w:lvl w:ilvl="1" w:tplc="CC8CD39E">
      <w:start w:val="1"/>
      <w:numFmt w:val="bullet"/>
      <w:lvlText w:val="o"/>
      <w:lvlJc w:val="left"/>
      <w:pPr>
        <w:ind w:left="1440" w:hanging="360"/>
      </w:pPr>
      <w:rPr>
        <w:rFonts w:ascii="Courier New" w:hAnsi="Courier New" w:hint="default"/>
      </w:rPr>
    </w:lvl>
    <w:lvl w:ilvl="2" w:tplc="CE4A8936">
      <w:start w:val="1"/>
      <w:numFmt w:val="bullet"/>
      <w:lvlText w:val=""/>
      <w:lvlJc w:val="left"/>
      <w:pPr>
        <w:ind w:left="2160" w:hanging="360"/>
      </w:pPr>
      <w:rPr>
        <w:rFonts w:ascii="Wingdings" w:hAnsi="Wingdings" w:hint="default"/>
      </w:rPr>
    </w:lvl>
    <w:lvl w:ilvl="3" w:tplc="5DA854AA">
      <w:start w:val="1"/>
      <w:numFmt w:val="bullet"/>
      <w:lvlText w:val=""/>
      <w:lvlJc w:val="left"/>
      <w:pPr>
        <w:ind w:left="2880" w:hanging="360"/>
      </w:pPr>
      <w:rPr>
        <w:rFonts w:ascii="Symbol" w:hAnsi="Symbol" w:hint="default"/>
      </w:rPr>
    </w:lvl>
    <w:lvl w:ilvl="4" w:tplc="7374965C">
      <w:start w:val="1"/>
      <w:numFmt w:val="bullet"/>
      <w:lvlText w:val="o"/>
      <w:lvlJc w:val="left"/>
      <w:pPr>
        <w:ind w:left="3600" w:hanging="360"/>
      </w:pPr>
      <w:rPr>
        <w:rFonts w:ascii="Courier New" w:hAnsi="Courier New" w:hint="default"/>
      </w:rPr>
    </w:lvl>
    <w:lvl w:ilvl="5" w:tplc="E89E7C90">
      <w:start w:val="1"/>
      <w:numFmt w:val="bullet"/>
      <w:lvlText w:val=""/>
      <w:lvlJc w:val="left"/>
      <w:pPr>
        <w:ind w:left="4320" w:hanging="360"/>
      </w:pPr>
      <w:rPr>
        <w:rFonts w:ascii="Wingdings" w:hAnsi="Wingdings" w:hint="default"/>
      </w:rPr>
    </w:lvl>
    <w:lvl w:ilvl="6" w:tplc="340AEC8C">
      <w:start w:val="1"/>
      <w:numFmt w:val="bullet"/>
      <w:lvlText w:val=""/>
      <w:lvlJc w:val="left"/>
      <w:pPr>
        <w:ind w:left="5040" w:hanging="360"/>
      </w:pPr>
      <w:rPr>
        <w:rFonts w:ascii="Symbol" w:hAnsi="Symbol" w:hint="default"/>
      </w:rPr>
    </w:lvl>
    <w:lvl w:ilvl="7" w:tplc="5A0C1318">
      <w:start w:val="1"/>
      <w:numFmt w:val="bullet"/>
      <w:lvlText w:val="o"/>
      <w:lvlJc w:val="left"/>
      <w:pPr>
        <w:ind w:left="5760" w:hanging="360"/>
      </w:pPr>
      <w:rPr>
        <w:rFonts w:ascii="Courier New" w:hAnsi="Courier New" w:hint="default"/>
      </w:rPr>
    </w:lvl>
    <w:lvl w:ilvl="8" w:tplc="C2388F64">
      <w:start w:val="1"/>
      <w:numFmt w:val="bullet"/>
      <w:lvlText w:val=""/>
      <w:lvlJc w:val="left"/>
      <w:pPr>
        <w:ind w:left="6480" w:hanging="360"/>
      </w:pPr>
      <w:rPr>
        <w:rFonts w:ascii="Wingdings" w:hAnsi="Wingdings" w:hint="default"/>
      </w:rPr>
    </w:lvl>
  </w:abstractNum>
  <w:abstractNum w:abstractNumId="13" w15:restartNumberingAfterBreak="0">
    <w:nsid w:val="3E4E75E5"/>
    <w:multiLevelType w:val="hybridMultilevel"/>
    <w:tmpl w:val="39CEF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1174AF"/>
    <w:multiLevelType w:val="hybridMultilevel"/>
    <w:tmpl w:val="3EDE5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AA5162"/>
    <w:multiLevelType w:val="hybridMultilevel"/>
    <w:tmpl w:val="FD3EBE20"/>
    <w:lvl w:ilvl="0" w:tplc="496C1B42">
      <w:start w:val="3"/>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46280"/>
    <w:multiLevelType w:val="hybridMultilevel"/>
    <w:tmpl w:val="7A44E43E"/>
    <w:lvl w:ilvl="0" w:tplc="8528D3AE">
      <w:start w:val="2"/>
      <w:numFmt w:val="bullet"/>
      <w:lvlText w:val="-"/>
      <w:lvlJc w:val="left"/>
      <w:pPr>
        <w:ind w:left="360" w:hanging="360"/>
      </w:pPr>
      <w:rPr>
        <w:rFonts w:ascii="Calibri" w:eastAsiaTheme="minorEastAsia"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2302F6A"/>
    <w:multiLevelType w:val="hybridMultilevel"/>
    <w:tmpl w:val="6ABE7E42"/>
    <w:lvl w:ilvl="0" w:tplc="211EED4A">
      <w:start w:val="1"/>
      <w:numFmt w:val="bullet"/>
      <w:lvlText w:val=""/>
      <w:lvlJc w:val="left"/>
      <w:pPr>
        <w:ind w:left="720" w:hanging="360"/>
      </w:pPr>
      <w:rPr>
        <w:rFonts w:ascii="Symbol" w:hAnsi="Symbol"/>
      </w:rPr>
    </w:lvl>
    <w:lvl w:ilvl="1" w:tplc="F54895C2">
      <w:start w:val="1"/>
      <w:numFmt w:val="bullet"/>
      <w:lvlText w:val=""/>
      <w:lvlJc w:val="left"/>
      <w:pPr>
        <w:ind w:left="720" w:hanging="360"/>
      </w:pPr>
      <w:rPr>
        <w:rFonts w:ascii="Symbol" w:hAnsi="Symbol"/>
      </w:rPr>
    </w:lvl>
    <w:lvl w:ilvl="2" w:tplc="CE9009B4">
      <w:start w:val="1"/>
      <w:numFmt w:val="bullet"/>
      <w:lvlText w:val=""/>
      <w:lvlJc w:val="left"/>
      <w:pPr>
        <w:ind w:left="720" w:hanging="360"/>
      </w:pPr>
      <w:rPr>
        <w:rFonts w:ascii="Symbol" w:hAnsi="Symbol"/>
      </w:rPr>
    </w:lvl>
    <w:lvl w:ilvl="3" w:tplc="89E2141A">
      <w:start w:val="1"/>
      <w:numFmt w:val="bullet"/>
      <w:lvlText w:val=""/>
      <w:lvlJc w:val="left"/>
      <w:pPr>
        <w:ind w:left="720" w:hanging="360"/>
      </w:pPr>
      <w:rPr>
        <w:rFonts w:ascii="Symbol" w:hAnsi="Symbol"/>
      </w:rPr>
    </w:lvl>
    <w:lvl w:ilvl="4" w:tplc="86E0C7E6">
      <w:start w:val="1"/>
      <w:numFmt w:val="bullet"/>
      <w:lvlText w:val=""/>
      <w:lvlJc w:val="left"/>
      <w:pPr>
        <w:ind w:left="720" w:hanging="360"/>
      </w:pPr>
      <w:rPr>
        <w:rFonts w:ascii="Symbol" w:hAnsi="Symbol"/>
      </w:rPr>
    </w:lvl>
    <w:lvl w:ilvl="5" w:tplc="39BC2C5C">
      <w:start w:val="1"/>
      <w:numFmt w:val="bullet"/>
      <w:lvlText w:val=""/>
      <w:lvlJc w:val="left"/>
      <w:pPr>
        <w:ind w:left="720" w:hanging="360"/>
      </w:pPr>
      <w:rPr>
        <w:rFonts w:ascii="Symbol" w:hAnsi="Symbol"/>
      </w:rPr>
    </w:lvl>
    <w:lvl w:ilvl="6" w:tplc="4FEEDFC8">
      <w:start w:val="1"/>
      <w:numFmt w:val="bullet"/>
      <w:lvlText w:val=""/>
      <w:lvlJc w:val="left"/>
      <w:pPr>
        <w:ind w:left="720" w:hanging="360"/>
      </w:pPr>
      <w:rPr>
        <w:rFonts w:ascii="Symbol" w:hAnsi="Symbol"/>
      </w:rPr>
    </w:lvl>
    <w:lvl w:ilvl="7" w:tplc="A46E9A48">
      <w:start w:val="1"/>
      <w:numFmt w:val="bullet"/>
      <w:lvlText w:val=""/>
      <w:lvlJc w:val="left"/>
      <w:pPr>
        <w:ind w:left="720" w:hanging="360"/>
      </w:pPr>
      <w:rPr>
        <w:rFonts w:ascii="Symbol" w:hAnsi="Symbol"/>
      </w:rPr>
    </w:lvl>
    <w:lvl w:ilvl="8" w:tplc="69E047F4">
      <w:start w:val="1"/>
      <w:numFmt w:val="bullet"/>
      <w:lvlText w:val=""/>
      <w:lvlJc w:val="left"/>
      <w:pPr>
        <w:ind w:left="720" w:hanging="360"/>
      </w:pPr>
      <w:rPr>
        <w:rFonts w:ascii="Symbol" w:hAnsi="Symbol"/>
      </w:rPr>
    </w:lvl>
  </w:abstractNum>
  <w:abstractNum w:abstractNumId="18" w15:restartNumberingAfterBreak="0">
    <w:nsid w:val="552E10FD"/>
    <w:multiLevelType w:val="hybridMultilevel"/>
    <w:tmpl w:val="A154A084"/>
    <w:lvl w:ilvl="0" w:tplc="FFFFFFFF">
      <w:start w:val="1"/>
      <w:numFmt w:val="bullet"/>
      <w:lvlText w:val="-"/>
      <w:lvlJc w:val="left"/>
      <w:pPr>
        <w:ind w:left="360" w:hanging="360"/>
      </w:pPr>
      <w:rPr>
        <w:rFonts w:ascii="Calibri" w:hAnsi="Calibri" w:hint="default"/>
      </w:rPr>
    </w:lvl>
    <w:lvl w:ilvl="1" w:tplc="E36889C0">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D72982"/>
    <w:multiLevelType w:val="hybridMultilevel"/>
    <w:tmpl w:val="DEEE092E"/>
    <w:lvl w:ilvl="0" w:tplc="904C3C7C">
      <w:start w:val="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A02FA4"/>
    <w:multiLevelType w:val="hybridMultilevel"/>
    <w:tmpl w:val="E132CBB4"/>
    <w:lvl w:ilvl="0" w:tplc="249CC0DE">
      <w:start w:val="3"/>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644826"/>
    <w:multiLevelType w:val="hybridMultilevel"/>
    <w:tmpl w:val="1CCC3BE8"/>
    <w:lvl w:ilvl="0" w:tplc="D3DC5D2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959F5"/>
    <w:multiLevelType w:val="hybridMultilevel"/>
    <w:tmpl w:val="45CE7764"/>
    <w:lvl w:ilvl="0" w:tplc="FFFFFFFF">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D2624C0"/>
    <w:multiLevelType w:val="multilevel"/>
    <w:tmpl w:val="E8327D2C"/>
    <w:lvl w:ilvl="0">
      <w:start w:val="1"/>
      <w:numFmt w:val="decimal"/>
      <w:pStyle w:val="Heading1"/>
      <w:lvlText w:val="Part %1."/>
      <w:lvlJc w:val="left"/>
      <w:pPr>
        <w:ind w:left="0" w:firstLine="0"/>
      </w:pPr>
    </w:lvl>
    <w:lvl w:ilvl="1">
      <w:start w:val="1"/>
      <w:numFmt w:val="decimal"/>
      <w:pStyle w:val="Heading2"/>
      <w:lvlText w:val="Section %1.%2"/>
      <w:lvlJc w:val="left"/>
      <w:pPr>
        <w:ind w:left="0" w:firstLine="0"/>
      </w:pPr>
    </w:lvl>
    <w:lvl w:ilvl="2">
      <w:start w:val="1"/>
      <w:numFmt w:val="decimal"/>
      <w:pStyle w:val="Heading3"/>
      <w:lvlText w:val="Section %1.%2.%3"/>
      <w:lvlJc w:val="left"/>
      <w:pPr>
        <w:ind w:left="0" w:firstLine="0"/>
      </w:pPr>
    </w:lvl>
    <w:lvl w:ilvl="3">
      <w:start w:val="1"/>
      <w:numFmt w:val="upperLetter"/>
      <w:pStyle w:val="Heading4"/>
      <w:lvlText w:val="Section %1.%2.%3%4"/>
      <w:lvlJc w:val="left"/>
      <w:pPr>
        <w:ind w:left="0" w:firstLine="0"/>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6D5938DE"/>
    <w:multiLevelType w:val="hybridMultilevel"/>
    <w:tmpl w:val="69BE0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A5A5A5" w:themeColor="accent3"/>
      </w:rPr>
    </w:lvl>
    <w:lvl w:ilvl="1">
      <w:start w:val="1"/>
      <w:numFmt w:val="bullet"/>
      <w:lvlText w:val="»"/>
      <w:lvlJc w:val="left"/>
      <w:pPr>
        <w:ind w:left="720" w:hanging="360"/>
      </w:pPr>
      <w:rPr>
        <w:rFonts w:ascii="Arial" w:hAnsi="Arial" w:hint="default"/>
        <w:color w:val="A5A5A5" w:themeColor="accent3"/>
      </w:rPr>
    </w:lvl>
    <w:lvl w:ilvl="2">
      <w:start w:val="1"/>
      <w:numFmt w:val="bullet"/>
      <w:lvlText w:val="›"/>
      <w:lvlJc w:val="left"/>
      <w:pPr>
        <w:ind w:left="1080" w:hanging="360"/>
      </w:pPr>
      <w:rPr>
        <w:rFonts w:ascii="Arial" w:hAnsi="Arial"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F1946B8"/>
    <w:multiLevelType w:val="hybridMultilevel"/>
    <w:tmpl w:val="A1B88D52"/>
    <w:lvl w:ilvl="0" w:tplc="FFFFFFFF">
      <w:start w:val="3"/>
      <w:numFmt w:val="bullet"/>
      <w:lvlText w:val="-"/>
      <w:lvlJc w:val="left"/>
      <w:pPr>
        <w:ind w:left="360" w:hanging="360"/>
      </w:pPr>
      <w:rPr>
        <w:rFonts w:ascii="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41186563">
    <w:abstractNumId w:val="18"/>
  </w:num>
  <w:num w:numId="2" w16cid:durableId="774056140">
    <w:abstractNumId w:val="20"/>
  </w:num>
  <w:num w:numId="3" w16cid:durableId="310595041">
    <w:abstractNumId w:val="16"/>
  </w:num>
  <w:num w:numId="4" w16cid:durableId="702250144">
    <w:abstractNumId w:val="23"/>
  </w:num>
  <w:num w:numId="5" w16cid:durableId="692414219">
    <w:abstractNumId w:val="2"/>
  </w:num>
  <w:num w:numId="6" w16cid:durableId="1798373974">
    <w:abstractNumId w:val="19"/>
  </w:num>
  <w:num w:numId="7" w16cid:durableId="1291204722">
    <w:abstractNumId w:val="5"/>
  </w:num>
  <w:num w:numId="8" w16cid:durableId="1105156933">
    <w:abstractNumId w:val="3"/>
  </w:num>
  <w:num w:numId="9" w16cid:durableId="552500245">
    <w:abstractNumId w:val="26"/>
  </w:num>
  <w:num w:numId="10" w16cid:durableId="1872720723">
    <w:abstractNumId w:val="15"/>
  </w:num>
  <w:num w:numId="11" w16cid:durableId="1844009188">
    <w:abstractNumId w:val="17"/>
  </w:num>
  <w:num w:numId="12" w16cid:durableId="988052358">
    <w:abstractNumId w:val="12"/>
  </w:num>
  <w:num w:numId="13" w16cid:durableId="144203339">
    <w:abstractNumId w:val="9"/>
  </w:num>
  <w:num w:numId="14" w16cid:durableId="826092193">
    <w:abstractNumId w:val="25"/>
  </w:num>
  <w:num w:numId="15" w16cid:durableId="1112361907">
    <w:abstractNumId w:val="6"/>
  </w:num>
  <w:num w:numId="16" w16cid:durableId="2008090169">
    <w:abstractNumId w:val="11"/>
  </w:num>
  <w:num w:numId="17" w16cid:durableId="1663123450">
    <w:abstractNumId w:val="21"/>
  </w:num>
  <w:num w:numId="18" w16cid:durableId="1735197990">
    <w:abstractNumId w:val="24"/>
  </w:num>
  <w:num w:numId="19" w16cid:durableId="1766608643">
    <w:abstractNumId w:val="14"/>
  </w:num>
  <w:num w:numId="20" w16cid:durableId="1522206855">
    <w:abstractNumId w:val="23"/>
  </w:num>
  <w:num w:numId="21" w16cid:durableId="556285302">
    <w:abstractNumId w:val="23"/>
  </w:num>
  <w:num w:numId="22" w16cid:durableId="687681769">
    <w:abstractNumId w:val="23"/>
  </w:num>
  <w:num w:numId="23" w16cid:durableId="1318655665">
    <w:abstractNumId w:val="23"/>
  </w:num>
  <w:num w:numId="24" w16cid:durableId="114449281">
    <w:abstractNumId w:val="23"/>
  </w:num>
  <w:num w:numId="25" w16cid:durableId="384839622">
    <w:abstractNumId w:val="1"/>
  </w:num>
  <w:num w:numId="26" w16cid:durableId="507208757">
    <w:abstractNumId w:val="0"/>
  </w:num>
  <w:num w:numId="27" w16cid:durableId="618950391">
    <w:abstractNumId w:val="10"/>
  </w:num>
  <w:num w:numId="28" w16cid:durableId="36518332">
    <w:abstractNumId w:val="4"/>
  </w:num>
  <w:num w:numId="29" w16cid:durableId="497621249">
    <w:abstractNumId w:val="8"/>
  </w:num>
  <w:num w:numId="30" w16cid:durableId="422724913">
    <w:abstractNumId w:val="7"/>
  </w:num>
  <w:num w:numId="31" w16cid:durableId="148327106">
    <w:abstractNumId w:val="13"/>
  </w:num>
  <w:num w:numId="32" w16cid:durableId="67862652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B0"/>
    <w:rsid w:val="0000013D"/>
    <w:rsid w:val="00000162"/>
    <w:rsid w:val="00000264"/>
    <w:rsid w:val="0000070A"/>
    <w:rsid w:val="00000888"/>
    <w:rsid w:val="000008A7"/>
    <w:rsid w:val="0000092B"/>
    <w:rsid w:val="00000A1E"/>
    <w:rsid w:val="00000CB1"/>
    <w:rsid w:val="00000CB4"/>
    <w:rsid w:val="0000107E"/>
    <w:rsid w:val="000015D7"/>
    <w:rsid w:val="0000186F"/>
    <w:rsid w:val="000018A8"/>
    <w:rsid w:val="000018D7"/>
    <w:rsid w:val="000019C2"/>
    <w:rsid w:val="00001B93"/>
    <w:rsid w:val="00001E87"/>
    <w:rsid w:val="00001EE1"/>
    <w:rsid w:val="00001FB2"/>
    <w:rsid w:val="000023C9"/>
    <w:rsid w:val="000023EC"/>
    <w:rsid w:val="00002511"/>
    <w:rsid w:val="00002574"/>
    <w:rsid w:val="000025D0"/>
    <w:rsid w:val="00002640"/>
    <w:rsid w:val="000027F5"/>
    <w:rsid w:val="000029D1"/>
    <w:rsid w:val="00002A7E"/>
    <w:rsid w:val="00002BA2"/>
    <w:rsid w:val="00002BC2"/>
    <w:rsid w:val="00002C4F"/>
    <w:rsid w:val="00002DB4"/>
    <w:rsid w:val="00002DC7"/>
    <w:rsid w:val="00002F37"/>
    <w:rsid w:val="00002F61"/>
    <w:rsid w:val="00002FE6"/>
    <w:rsid w:val="0000302E"/>
    <w:rsid w:val="00003109"/>
    <w:rsid w:val="0000324D"/>
    <w:rsid w:val="00003411"/>
    <w:rsid w:val="000034F0"/>
    <w:rsid w:val="00003507"/>
    <w:rsid w:val="00003662"/>
    <w:rsid w:val="000037EA"/>
    <w:rsid w:val="00003920"/>
    <w:rsid w:val="00003A08"/>
    <w:rsid w:val="00003B1D"/>
    <w:rsid w:val="00003CA7"/>
    <w:rsid w:val="00003E22"/>
    <w:rsid w:val="00003E61"/>
    <w:rsid w:val="00004371"/>
    <w:rsid w:val="0000446E"/>
    <w:rsid w:val="00004476"/>
    <w:rsid w:val="000045C7"/>
    <w:rsid w:val="000045D4"/>
    <w:rsid w:val="00004718"/>
    <w:rsid w:val="00004728"/>
    <w:rsid w:val="000047A1"/>
    <w:rsid w:val="0000488D"/>
    <w:rsid w:val="00004C1E"/>
    <w:rsid w:val="00004C75"/>
    <w:rsid w:val="00005351"/>
    <w:rsid w:val="000054EE"/>
    <w:rsid w:val="0000553E"/>
    <w:rsid w:val="00005588"/>
    <w:rsid w:val="00005959"/>
    <w:rsid w:val="000059B3"/>
    <w:rsid w:val="00005C72"/>
    <w:rsid w:val="00005DDA"/>
    <w:rsid w:val="00005E72"/>
    <w:rsid w:val="00005E84"/>
    <w:rsid w:val="000061F3"/>
    <w:rsid w:val="000063A0"/>
    <w:rsid w:val="000063A6"/>
    <w:rsid w:val="00006441"/>
    <w:rsid w:val="00006617"/>
    <w:rsid w:val="0000663E"/>
    <w:rsid w:val="00006776"/>
    <w:rsid w:val="0000699F"/>
    <w:rsid w:val="000069CF"/>
    <w:rsid w:val="00006A76"/>
    <w:rsid w:val="00006C4E"/>
    <w:rsid w:val="00006C61"/>
    <w:rsid w:val="00006CD3"/>
    <w:rsid w:val="00006D4C"/>
    <w:rsid w:val="00006ECF"/>
    <w:rsid w:val="00006F8A"/>
    <w:rsid w:val="000071A5"/>
    <w:rsid w:val="000071D4"/>
    <w:rsid w:val="00007505"/>
    <w:rsid w:val="00007721"/>
    <w:rsid w:val="00007894"/>
    <w:rsid w:val="000079A9"/>
    <w:rsid w:val="00007A04"/>
    <w:rsid w:val="00007A15"/>
    <w:rsid w:val="00007A7A"/>
    <w:rsid w:val="00007BFD"/>
    <w:rsid w:val="00007D29"/>
    <w:rsid w:val="00007D2D"/>
    <w:rsid w:val="00007E0D"/>
    <w:rsid w:val="00007E96"/>
    <w:rsid w:val="00007EC8"/>
    <w:rsid w:val="00007F42"/>
    <w:rsid w:val="00007F60"/>
    <w:rsid w:val="00007F63"/>
    <w:rsid w:val="0001050F"/>
    <w:rsid w:val="0001061E"/>
    <w:rsid w:val="000106F2"/>
    <w:rsid w:val="000107E3"/>
    <w:rsid w:val="000107E8"/>
    <w:rsid w:val="00010820"/>
    <w:rsid w:val="00010846"/>
    <w:rsid w:val="00010888"/>
    <w:rsid w:val="00010A02"/>
    <w:rsid w:val="00010A58"/>
    <w:rsid w:val="00010AB5"/>
    <w:rsid w:val="00010CA4"/>
    <w:rsid w:val="00010CF6"/>
    <w:rsid w:val="00010DFA"/>
    <w:rsid w:val="00010E79"/>
    <w:rsid w:val="0001115B"/>
    <w:rsid w:val="00011351"/>
    <w:rsid w:val="00011442"/>
    <w:rsid w:val="0001146D"/>
    <w:rsid w:val="000115D3"/>
    <w:rsid w:val="00011681"/>
    <w:rsid w:val="000116C5"/>
    <w:rsid w:val="0001185E"/>
    <w:rsid w:val="00011880"/>
    <w:rsid w:val="00011904"/>
    <w:rsid w:val="00011A20"/>
    <w:rsid w:val="00011BD1"/>
    <w:rsid w:val="00011DBF"/>
    <w:rsid w:val="000121BA"/>
    <w:rsid w:val="000122F3"/>
    <w:rsid w:val="000123E3"/>
    <w:rsid w:val="00012996"/>
    <w:rsid w:val="00012D33"/>
    <w:rsid w:val="00012DC3"/>
    <w:rsid w:val="00012F65"/>
    <w:rsid w:val="000131F9"/>
    <w:rsid w:val="0001327E"/>
    <w:rsid w:val="000132F5"/>
    <w:rsid w:val="000133D4"/>
    <w:rsid w:val="0001355E"/>
    <w:rsid w:val="00013565"/>
    <w:rsid w:val="000135C9"/>
    <w:rsid w:val="00013674"/>
    <w:rsid w:val="00013732"/>
    <w:rsid w:val="00013762"/>
    <w:rsid w:val="000139AA"/>
    <w:rsid w:val="00013D2B"/>
    <w:rsid w:val="00013E8B"/>
    <w:rsid w:val="00014087"/>
    <w:rsid w:val="000141A3"/>
    <w:rsid w:val="00014262"/>
    <w:rsid w:val="000142F8"/>
    <w:rsid w:val="00014346"/>
    <w:rsid w:val="00014357"/>
    <w:rsid w:val="0001446B"/>
    <w:rsid w:val="00014852"/>
    <w:rsid w:val="000149D0"/>
    <w:rsid w:val="00014A8B"/>
    <w:rsid w:val="00014ADD"/>
    <w:rsid w:val="00014B18"/>
    <w:rsid w:val="00014DB1"/>
    <w:rsid w:val="00014EEB"/>
    <w:rsid w:val="00014F74"/>
    <w:rsid w:val="000150EF"/>
    <w:rsid w:val="0001511F"/>
    <w:rsid w:val="000153B2"/>
    <w:rsid w:val="00015443"/>
    <w:rsid w:val="000156DF"/>
    <w:rsid w:val="0001571C"/>
    <w:rsid w:val="00015895"/>
    <w:rsid w:val="00015C19"/>
    <w:rsid w:val="00015E65"/>
    <w:rsid w:val="00015F8A"/>
    <w:rsid w:val="00015FB3"/>
    <w:rsid w:val="0001627D"/>
    <w:rsid w:val="0001631B"/>
    <w:rsid w:val="0001649E"/>
    <w:rsid w:val="00016671"/>
    <w:rsid w:val="000168C2"/>
    <w:rsid w:val="00016A38"/>
    <w:rsid w:val="00016BBE"/>
    <w:rsid w:val="00016E39"/>
    <w:rsid w:val="00016FAA"/>
    <w:rsid w:val="000172CE"/>
    <w:rsid w:val="000173CF"/>
    <w:rsid w:val="00017439"/>
    <w:rsid w:val="000174C1"/>
    <w:rsid w:val="000174EA"/>
    <w:rsid w:val="0001769C"/>
    <w:rsid w:val="00017721"/>
    <w:rsid w:val="00017B78"/>
    <w:rsid w:val="00017D9D"/>
    <w:rsid w:val="00017DCC"/>
    <w:rsid w:val="00017E0F"/>
    <w:rsid w:val="00017FBE"/>
    <w:rsid w:val="0002012C"/>
    <w:rsid w:val="0002024A"/>
    <w:rsid w:val="0002037A"/>
    <w:rsid w:val="000203CC"/>
    <w:rsid w:val="0002052E"/>
    <w:rsid w:val="00020566"/>
    <w:rsid w:val="000205C7"/>
    <w:rsid w:val="00020B0D"/>
    <w:rsid w:val="00020B90"/>
    <w:rsid w:val="00020D75"/>
    <w:rsid w:val="00021014"/>
    <w:rsid w:val="00021313"/>
    <w:rsid w:val="000215ED"/>
    <w:rsid w:val="00021668"/>
    <w:rsid w:val="000216EB"/>
    <w:rsid w:val="000217AE"/>
    <w:rsid w:val="000218BC"/>
    <w:rsid w:val="00021AF7"/>
    <w:rsid w:val="00021B4A"/>
    <w:rsid w:val="00021EAF"/>
    <w:rsid w:val="000220F7"/>
    <w:rsid w:val="00022661"/>
    <w:rsid w:val="0002281C"/>
    <w:rsid w:val="00022AF1"/>
    <w:rsid w:val="00022D9C"/>
    <w:rsid w:val="0002356B"/>
    <w:rsid w:val="000236A8"/>
    <w:rsid w:val="0002376A"/>
    <w:rsid w:val="00023B58"/>
    <w:rsid w:val="00023F03"/>
    <w:rsid w:val="0002434C"/>
    <w:rsid w:val="00024366"/>
    <w:rsid w:val="00024464"/>
    <w:rsid w:val="00024474"/>
    <w:rsid w:val="0002451C"/>
    <w:rsid w:val="00024668"/>
    <w:rsid w:val="000248B4"/>
    <w:rsid w:val="000248D7"/>
    <w:rsid w:val="0002492C"/>
    <w:rsid w:val="0002496A"/>
    <w:rsid w:val="00024BC9"/>
    <w:rsid w:val="0002501C"/>
    <w:rsid w:val="00025288"/>
    <w:rsid w:val="00025312"/>
    <w:rsid w:val="00025766"/>
    <w:rsid w:val="00025855"/>
    <w:rsid w:val="0002589D"/>
    <w:rsid w:val="000258AF"/>
    <w:rsid w:val="00025A94"/>
    <w:rsid w:val="00025B3F"/>
    <w:rsid w:val="00025D15"/>
    <w:rsid w:val="00025E22"/>
    <w:rsid w:val="00025E8E"/>
    <w:rsid w:val="0002611A"/>
    <w:rsid w:val="00026193"/>
    <w:rsid w:val="000265AB"/>
    <w:rsid w:val="00026602"/>
    <w:rsid w:val="00026605"/>
    <w:rsid w:val="00026679"/>
    <w:rsid w:val="00026963"/>
    <w:rsid w:val="00026B5A"/>
    <w:rsid w:val="00026B9F"/>
    <w:rsid w:val="00026C5E"/>
    <w:rsid w:val="00027021"/>
    <w:rsid w:val="00027071"/>
    <w:rsid w:val="000270E1"/>
    <w:rsid w:val="00027100"/>
    <w:rsid w:val="00027335"/>
    <w:rsid w:val="000274A4"/>
    <w:rsid w:val="000274B1"/>
    <w:rsid w:val="0002753A"/>
    <w:rsid w:val="00027576"/>
    <w:rsid w:val="00027589"/>
    <w:rsid w:val="00027618"/>
    <w:rsid w:val="0002775C"/>
    <w:rsid w:val="00027838"/>
    <w:rsid w:val="00027877"/>
    <w:rsid w:val="000278BA"/>
    <w:rsid w:val="00027B85"/>
    <w:rsid w:val="00027C13"/>
    <w:rsid w:val="00027F26"/>
    <w:rsid w:val="00027F94"/>
    <w:rsid w:val="00027FFA"/>
    <w:rsid w:val="0003000A"/>
    <w:rsid w:val="000300A3"/>
    <w:rsid w:val="000301A6"/>
    <w:rsid w:val="00030268"/>
    <w:rsid w:val="0003026C"/>
    <w:rsid w:val="00030717"/>
    <w:rsid w:val="000307F0"/>
    <w:rsid w:val="00030966"/>
    <w:rsid w:val="00030C33"/>
    <w:rsid w:val="00030D32"/>
    <w:rsid w:val="00030F5A"/>
    <w:rsid w:val="000310A4"/>
    <w:rsid w:val="00031122"/>
    <w:rsid w:val="0003117A"/>
    <w:rsid w:val="000311A0"/>
    <w:rsid w:val="00031384"/>
    <w:rsid w:val="00031603"/>
    <w:rsid w:val="00031A00"/>
    <w:rsid w:val="00031AD0"/>
    <w:rsid w:val="00031C3C"/>
    <w:rsid w:val="00031EBA"/>
    <w:rsid w:val="00032017"/>
    <w:rsid w:val="00032061"/>
    <w:rsid w:val="0003210C"/>
    <w:rsid w:val="0003212F"/>
    <w:rsid w:val="00032263"/>
    <w:rsid w:val="000323E9"/>
    <w:rsid w:val="000323FF"/>
    <w:rsid w:val="000324C0"/>
    <w:rsid w:val="0003251E"/>
    <w:rsid w:val="000325E4"/>
    <w:rsid w:val="0003260D"/>
    <w:rsid w:val="0003265D"/>
    <w:rsid w:val="0003280B"/>
    <w:rsid w:val="000328A3"/>
    <w:rsid w:val="000329A9"/>
    <w:rsid w:val="00032A05"/>
    <w:rsid w:val="00032A66"/>
    <w:rsid w:val="00032F60"/>
    <w:rsid w:val="00032F6C"/>
    <w:rsid w:val="00033055"/>
    <w:rsid w:val="0003312C"/>
    <w:rsid w:val="00033235"/>
    <w:rsid w:val="000333F8"/>
    <w:rsid w:val="000335F2"/>
    <w:rsid w:val="00033649"/>
    <w:rsid w:val="00033A2B"/>
    <w:rsid w:val="00033A3B"/>
    <w:rsid w:val="00033A46"/>
    <w:rsid w:val="00033BB3"/>
    <w:rsid w:val="00033DEE"/>
    <w:rsid w:val="00033E20"/>
    <w:rsid w:val="0003407B"/>
    <w:rsid w:val="0003415D"/>
    <w:rsid w:val="000341C0"/>
    <w:rsid w:val="000341DD"/>
    <w:rsid w:val="00034465"/>
    <w:rsid w:val="0003461E"/>
    <w:rsid w:val="00034715"/>
    <w:rsid w:val="000349CF"/>
    <w:rsid w:val="00034AFF"/>
    <w:rsid w:val="00034B65"/>
    <w:rsid w:val="00034D8B"/>
    <w:rsid w:val="00034DBF"/>
    <w:rsid w:val="00034F35"/>
    <w:rsid w:val="0003510B"/>
    <w:rsid w:val="00035218"/>
    <w:rsid w:val="0003575A"/>
    <w:rsid w:val="000357DD"/>
    <w:rsid w:val="00035881"/>
    <w:rsid w:val="00035A5E"/>
    <w:rsid w:val="00035A6E"/>
    <w:rsid w:val="00035D97"/>
    <w:rsid w:val="00035DB4"/>
    <w:rsid w:val="00035DFB"/>
    <w:rsid w:val="00035E2F"/>
    <w:rsid w:val="00035E4E"/>
    <w:rsid w:val="00035E7E"/>
    <w:rsid w:val="000360A8"/>
    <w:rsid w:val="0003614C"/>
    <w:rsid w:val="00036193"/>
    <w:rsid w:val="000361AC"/>
    <w:rsid w:val="00036459"/>
    <w:rsid w:val="00036511"/>
    <w:rsid w:val="000365B6"/>
    <w:rsid w:val="000366A8"/>
    <w:rsid w:val="00036B9D"/>
    <w:rsid w:val="00036E1E"/>
    <w:rsid w:val="00036E7E"/>
    <w:rsid w:val="00036F06"/>
    <w:rsid w:val="0003721D"/>
    <w:rsid w:val="00037221"/>
    <w:rsid w:val="000372E8"/>
    <w:rsid w:val="00037395"/>
    <w:rsid w:val="000373DD"/>
    <w:rsid w:val="00037853"/>
    <w:rsid w:val="00037E00"/>
    <w:rsid w:val="00037E70"/>
    <w:rsid w:val="00037F4A"/>
    <w:rsid w:val="00037F80"/>
    <w:rsid w:val="0004000F"/>
    <w:rsid w:val="000401A8"/>
    <w:rsid w:val="0004032F"/>
    <w:rsid w:val="000408BE"/>
    <w:rsid w:val="00040A50"/>
    <w:rsid w:val="00040B2E"/>
    <w:rsid w:val="00040DAE"/>
    <w:rsid w:val="00041056"/>
    <w:rsid w:val="000410F8"/>
    <w:rsid w:val="00041160"/>
    <w:rsid w:val="00041195"/>
    <w:rsid w:val="00041224"/>
    <w:rsid w:val="000414B6"/>
    <w:rsid w:val="00041536"/>
    <w:rsid w:val="000415F4"/>
    <w:rsid w:val="0004163F"/>
    <w:rsid w:val="000417FA"/>
    <w:rsid w:val="000419B1"/>
    <w:rsid w:val="00041E1F"/>
    <w:rsid w:val="00041F64"/>
    <w:rsid w:val="0004219B"/>
    <w:rsid w:val="00042417"/>
    <w:rsid w:val="00042520"/>
    <w:rsid w:val="00042557"/>
    <w:rsid w:val="000425A5"/>
    <w:rsid w:val="0004260E"/>
    <w:rsid w:val="000426D9"/>
    <w:rsid w:val="00042724"/>
    <w:rsid w:val="00042887"/>
    <w:rsid w:val="000428A2"/>
    <w:rsid w:val="00042B71"/>
    <w:rsid w:val="00042BD8"/>
    <w:rsid w:val="00042F35"/>
    <w:rsid w:val="00042F54"/>
    <w:rsid w:val="00042FDA"/>
    <w:rsid w:val="00042FF9"/>
    <w:rsid w:val="000433CB"/>
    <w:rsid w:val="0004350B"/>
    <w:rsid w:val="00043586"/>
    <w:rsid w:val="0004369E"/>
    <w:rsid w:val="000436DA"/>
    <w:rsid w:val="0004373C"/>
    <w:rsid w:val="00043AA3"/>
    <w:rsid w:val="00043ACB"/>
    <w:rsid w:val="00043C51"/>
    <w:rsid w:val="00043D01"/>
    <w:rsid w:val="00043DDC"/>
    <w:rsid w:val="00043EA4"/>
    <w:rsid w:val="00043EF0"/>
    <w:rsid w:val="00043F76"/>
    <w:rsid w:val="00044019"/>
    <w:rsid w:val="000440A0"/>
    <w:rsid w:val="0004413D"/>
    <w:rsid w:val="00044160"/>
    <w:rsid w:val="00044327"/>
    <w:rsid w:val="000445D5"/>
    <w:rsid w:val="000448F9"/>
    <w:rsid w:val="00044B0B"/>
    <w:rsid w:val="00044C01"/>
    <w:rsid w:val="00044DA2"/>
    <w:rsid w:val="00044F39"/>
    <w:rsid w:val="00045083"/>
    <w:rsid w:val="00045191"/>
    <w:rsid w:val="00045289"/>
    <w:rsid w:val="000454DC"/>
    <w:rsid w:val="000455F9"/>
    <w:rsid w:val="00045850"/>
    <w:rsid w:val="000458E1"/>
    <w:rsid w:val="0004592E"/>
    <w:rsid w:val="00045E0F"/>
    <w:rsid w:val="0004601B"/>
    <w:rsid w:val="000460FD"/>
    <w:rsid w:val="0004618E"/>
    <w:rsid w:val="000461FD"/>
    <w:rsid w:val="00046240"/>
    <w:rsid w:val="0004631D"/>
    <w:rsid w:val="000463A5"/>
    <w:rsid w:val="00046421"/>
    <w:rsid w:val="000464DA"/>
    <w:rsid w:val="00046610"/>
    <w:rsid w:val="00046678"/>
    <w:rsid w:val="00046AEC"/>
    <w:rsid w:val="00046B02"/>
    <w:rsid w:val="00046BC7"/>
    <w:rsid w:val="00046C6D"/>
    <w:rsid w:val="00046C9B"/>
    <w:rsid w:val="00046EE0"/>
    <w:rsid w:val="00046F31"/>
    <w:rsid w:val="0004716A"/>
    <w:rsid w:val="0004731E"/>
    <w:rsid w:val="00047766"/>
    <w:rsid w:val="00047A68"/>
    <w:rsid w:val="00047B29"/>
    <w:rsid w:val="00047FE1"/>
    <w:rsid w:val="0005004A"/>
    <w:rsid w:val="00050161"/>
    <w:rsid w:val="000501AB"/>
    <w:rsid w:val="0005020A"/>
    <w:rsid w:val="00050225"/>
    <w:rsid w:val="00050267"/>
    <w:rsid w:val="0005056B"/>
    <w:rsid w:val="000505E0"/>
    <w:rsid w:val="00050A07"/>
    <w:rsid w:val="00050AD3"/>
    <w:rsid w:val="00050B62"/>
    <w:rsid w:val="00050BB4"/>
    <w:rsid w:val="00050EEE"/>
    <w:rsid w:val="0005103C"/>
    <w:rsid w:val="00051074"/>
    <w:rsid w:val="0005119E"/>
    <w:rsid w:val="000511F5"/>
    <w:rsid w:val="0005161E"/>
    <w:rsid w:val="00051936"/>
    <w:rsid w:val="00051965"/>
    <w:rsid w:val="000519A3"/>
    <w:rsid w:val="00051B2E"/>
    <w:rsid w:val="00051D21"/>
    <w:rsid w:val="00051DAC"/>
    <w:rsid w:val="00051EFD"/>
    <w:rsid w:val="00051FFA"/>
    <w:rsid w:val="00052167"/>
    <w:rsid w:val="00052293"/>
    <w:rsid w:val="0005230B"/>
    <w:rsid w:val="000524FC"/>
    <w:rsid w:val="00052503"/>
    <w:rsid w:val="000526E6"/>
    <w:rsid w:val="00052746"/>
    <w:rsid w:val="000528A2"/>
    <w:rsid w:val="00052ACC"/>
    <w:rsid w:val="00052AE1"/>
    <w:rsid w:val="00052D83"/>
    <w:rsid w:val="00052F29"/>
    <w:rsid w:val="0005309D"/>
    <w:rsid w:val="000530E7"/>
    <w:rsid w:val="000533DF"/>
    <w:rsid w:val="00053410"/>
    <w:rsid w:val="00053456"/>
    <w:rsid w:val="00053522"/>
    <w:rsid w:val="00053723"/>
    <w:rsid w:val="0005378F"/>
    <w:rsid w:val="000537B9"/>
    <w:rsid w:val="00053913"/>
    <w:rsid w:val="000539AD"/>
    <w:rsid w:val="00053ABD"/>
    <w:rsid w:val="00053B31"/>
    <w:rsid w:val="00053CC7"/>
    <w:rsid w:val="00053CE9"/>
    <w:rsid w:val="00053F78"/>
    <w:rsid w:val="00054004"/>
    <w:rsid w:val="0005424C"/>
    <w:rsid w:val="000542EA"/>
    <w:rsid w:val="0005449E"/>
    <w:rsid w:val="000545B2"/>
    <w:rsid w:val="00054602"/>
    <w:rsid w:val="00054627"/>
    <w:rsid w:val="00054831"/>
    <w:rsid w:val="0005485D"/>
    <w:rsid w:val="00054887"/>
    <w:rsid w:val="00054B3B"/>
    <w:rsid w:val="00054BA5"/>
    <w:rsid w:val="00054F72"/>
    <w:rsid w:val="0005504A"/>
    <w:rsid w:val="000550D9"/>
    <w:rsid w:val="00055128"/>
    <w:rsid w:val="0005512D"/>
    <w:rsid w:val="00055160"/>
    <w:rsid w:val="0005528F"/>
    <w:rsid w:val="00055324"/>
    <w:rsid w:val="000557AA"/>
    <w:rsid w:val="000557CE"/>
    <w:rsid w:val="00055A2C"/>
    <w:rsid w:val="00055B7A"/>
    <w:rsid w:val="00055BE4"/>
    <w:rsid w:val="0005618B"/>
    <w:rsid w:val="00056360"/>
    <w:rsid w:val="0005655A"/>
    <w:rsid w:val="0005664F"/>
    <w:rsid w:val="00056865"/>
    <w:rsid w:val="00056870"/>
    <w:rsid w:val="00056A94"/>
    <w:rsid w:val="00056AEB"/>
    <w:rsid w:val="00056B3C"/>
    <w:rsid w:val="00056C4E"/>
    <w:rsid w:val="00056C5A"/>
    <w:rsid w:val="00056D8F"/>
    <w:rsid w:val="00056DD3"/>
    <w:rsid w:val="00056DFB"/>
    <w:rsid w:val="000574A0"/>
    <w:rsid w:val="00057502"/>
    <w:rsid w:val="0005768C"/>
    <w:rsid w:val="0005774C"/>
    <w:rsid w:val="00057AEA"/>
    <w:rsid w:val="00057B54"/>
    <w:rsid w:val="00057D55"/>
    <w:rsid w:val="00057ECA"/>
    <w:rsid w:val="0006019C"/>
    <w:rsid w:val="0006019D"/>
    <w:rsid w:val="000601CC"/>
    <w:rsid w:val="000601ED"/>
    <w:rsid w:val="000601F1"/>
    <w:rsid w:val="00060424"/>
    <w:rsid w:val="000608FD"/>
    <w:rsid w:val="00060B2B"/>
    <w:rsid w:val="00060C0F"/>
    <w:rsid w:val="00060C27"/>
    <w:rsid w:val="00060CD4"/>
    <w:rsid w:val="00060CF2"/>
    <w:rsid w:val="00060DAB"/>
    <w:rsid w:val="00060E97"/>
    <w:rsid w:val="00060FE3"/>
    <w:rsid w:val="00061014"/>
    <w:rsid w:val="0006105F"/>
    <w:rsid w:val="00061060"/>
    <w:rsid w:val="000613FF"/>
    <w:rsid w:val="00061496"/>
    <w:rsid w:val="0006159D"/>
    <w:rsid w:val="000616B5"/>
    <w:rsid w:val="000617F7"/>
    <w:rsid w:val="00061859"/>
    <w:rsid w:val="000618B0"/>
    <w:rsid w:val="00061AA8"/>
    <w:rsid w:val="00061AD4"/>
    <w:rsid w:val="00061AD9"/>
    <w:rsid w:val="00061B8C"/>
    <w:rsid w:val="00061C0E"/>
    <w:rsid w:val="00061FFA"/>
    <w:rsid w:val="0006202C"/>
    <w:rsid w:val="000620A3"/>
    <w:rsid w:val="00062144"/>
    <w:rsid w:val="000621E5"/>
    <w:rsid w:val="000621FE"/>
    <w:rsid w:val="000624D9"/>
    <w:rsid w:val="000624DB"/>
    <w:rsid w:val="00062A66"/>
    <w:rsid w:val="00062A89"/>
    <w:rsid w:val="00062DCD"/>
    <w:rsid w:val="00062EF5"/>
    <w:rsid w:val="00062F0C"/>
    <w:rsid w:val="00062F66"/>
    <w:rsid w:val="00062FAA"/>
    <w:rsid w:val="00062FDA"/>
    <w:rsid w:val="0006307E"/>
    <w:rsid w:val="000630C6"/>
    <w:rsid w:val="0006318F"/>
    <w:rsid w:val="0006347F"/>
    <w:rsid w:val="0006373F"/>
    <w:rsid w:val="000638BA"/>
    <w:rsid w:val="000639CF"/>
    <w:rsid w:val="00063CFC"/>
    <w:rsid w:val="000640D4"/>
    <w:rsid w:val="00064196"/>
    <w:rsid w:val="00064219"/>
    <w:rsid w:val="000642DD"/>
    <w:rsid w:val="0006433D"/>
    <w:rsid w:val="00064588"/>
    <w:rsid w:val="00064782"/>
    <w:rsid w:val="000648AB"/>
    <w:rsid w:val="00064B89"/>
    <w:rsid w:val="00064C0D"/>
    <w:rsid w:val="00064CDB"/>
    <w:rsid w:val="00064D30"/>
    <w:rsid w:val="00064FBD"/>
    <w:rsid w:val="000651C2"/>
    <w:rsid w:val="0006531D"/>
    <w:rsid w:val="000653BA"/>
    <w:rsid w:val="000653FB"/>
    <w:rsid w:val="00065746"/>
    <w:rsid w:val="00065ADE"/>
    <w:rsid w:val="00065C1A"/>
    <w:rsid w:val="00065D94"/>
    <w:rsid w:val="00065FD4"/>
    <w:rsid w:val="000660D7"/>
    <w:rsid w:val="000660D9"/>
    <w:rsid w:val="000662F0"/>
    <w:rsid w:val="0006674E"/>
    <w:rsid w:val="00066D53"/>
    <w:rsid w:val="00066D54"/>
    <w:rsid w:val="00066E3C"/>
    <w:rsid w:val="00066FE2"/>
    <w:rsid w:val="00067183"/>
    <w:rsid w:val="00067212"/>
    <w:rsid w:val="00067379"/>
    <w:rsid w:val="0006738E"/>
    <w:rsid w:val="00067397"/>
    <w:rsid w:val="0006743C"/>
    <w:rsid w:val="000675E7"/>
    <w:rsid w:val="00067635"/>
    <w:rsid w:val="0006767F"/>
    <w:rsid w:val="00067884"/>
    <w:rsid w:val="00067C94"/>
    <w:rsid w:val="00067D80"/>
    <w:rsid w:val="00067F1F"/>
    <w:rsid w:val="000702D0"/>
    <w:rsid w:val="0007043A"/>
    <w:rsid w:val="00070522"/>
    <w:rsid w:val="00070553"/>
    <w:rsid w:val="00070923"/>
    <w:rsid w:val="00070981"/>
    <w:rsid w:val="00070B94"/>
    <w:rsid w:val="00070C41"/>
    <w:rsid w:val="00071136"/>
    <w:rsid w:val="00071243"/>
    <w:rsid w:val="00071259"/>
    <w:rsid w:val="000712A8"/>
    <w:rsid w:val="000712BE"/>
    <w:rsid w:val="000712DD"/>
    <w:rsid w:val="00071323"/>
    <w:rsid w:val="0007143C"/>
    <w:rsid w:val="000714A8"/>
    <w:rsid w:val="00071556"/>
    <w:rsid w:val="00071799"/>
    <w:rsid w:val="000717B6"/>
    <w:rsid w:val="00071849"/>
    <w:rsid w:val="0007196F"/>
    <w:rsid w:val="00071A89"/>
    <w:rsid w:val="00071EE6"/>
    <w:rsid w:val="00071F65"/>
    <w:rsid w:val="000720DE"/>
    <w:rsid w:val="00072152"/>
    <w:rsid w:val="00072A0F"/>
    <w:rsid w:val="00072B99"/>
    <w:rsid w:val="00072BD2"/>
    <w:rsid w:val="00072E43"/>
    <w:rsid w:val="00072E7D"/>
    <w:rsid w:val="0007316D"/>
    <w:rsid w:val="00073174"/>
    <w:rsid w:val="0007326D"/>
    <w:rsid w:val="00073362"/>
    <w:rsid w:val="000734F7"/>
    <w:rsid w:val="000735B6"/>
    <w:rsid w:val="00073645"/>
    <w:rsid w:val="00073678"/>
    <w:rsid w:val="000738E1"/>
    <w:rsid w:val="000739B0"/>
    <w:rsid w:val="000739B2"/>
    <w:rsid w:val="00073AB2"/>
    <w:rsid w:val="00073BC3"/>
    <w:rsid w:val="00073BD8"/>
    <w:rsid w:val="00073CDA"/>
    <w:rsid w:val="00073F85"/>
    <w:rsid w:val="000742EA"/>
    <w:rsid w:val="0007451D"/>
    <w:rsid w:val="000747C3"/>
    <w:rsid w:val="000748CB"/>
    <w:rsid w:val="00074B28"/>
    <w:rsid w:val="00074C37"/>
    <w:rsid w:val="00074C4F"/>
    <w:rsid w:val="00074CCC"/>
    <w:rsid w:val="00074DE8"/>
    <w:rsid w:val="000752D9"/>
    <w:rsid w:val="000752EC"/>
    <w:rsid w:val="000752FF"/>
    <w:rsid w:val="0007554D"/>
    <w:rsid w:val="0007555D"/>
    <w:rsid w:val="00075797"/>
    <w:rsid w:val="0007597D"/>
    <w:rsid w:val="00075BA9"/>
    <w:rsid w:val="00075BB1"/>
    <w:rsid w:val="00075D50"/>
    <w:rsid w:val="00075D68"/>
    <w:rsid w:val="00075E51"/>
    <w:rsid w:val="00075EB6"/>
    <w:rsid w:val="0007630A"/>
    <w:rsid w:val="000765AB"/>
    <w:rsid w:val="0007672B"/>
    <w:rsid w:val="0007677E"/>
    <w:rsid w:val="000768BF"/>
    <w:rsid w:val="00076B96"/>
    <w:rsid w:val="00076BB9"/>
    <w:rsid w:val="00076DD4"/>
    <w:rsid w:val="00076E39"/>
    <w:rsid w:val="00076E85"/>
    <w:rsid w:val="00076EA3"/>
    <w:rsid w:val="00076F04"/>
    <w:rsid w:val="00076F70"/>
    <w:rsid w:val="00076F9F"/>
    <w:rsid w:val="00077091"/>
    <w:rsid w:val="00077333"/>
    <w:rsid w:val="000774B8"/>
    <w:rsid w:val="000774F1"/>
    <w:rsid w:val="00077540"/>
    <w:rsid w:val="00077610"/>
    <w:rsid w:val="000776C7"/>
    <w:rsid w:val="00077718"/>
    <w:rsid w:val="00077844"/>
    <w:rsid w:val="0007797B"/>
    <w:rsid w:val="00077A83"/>
    <w:rsid w:val="00077BEF"/>
    <w:rsid w:val="00077F6E"/>
    <w:rsid w:val="00080050"/>
    <w:rsid w:val="00080359"/>
    <w:rsid w:val="000803CA"/>
    <w:rsid w:val="00080460"/>
    <w:rsid w:val="0008067C"/>
    <w:rsid w:val="000806C5"/>
    <w:rsid w:val="00080867"/>
    <w:rsid w:val="000808A3"/>
    <w:rsid w:val="000808E2"/>
    <w:rsid w:val="00080943"/>
    <w:rsid w:val="000809A6"/>
    <w:rsid w:val="00080AC2"/>
    <w:rsid w:val="00080AE1"/>
    <w:rsid w:val="00080B5D"/>
    <w:rsid w:val="00080C79"/>
    <w:rsid w:val="00080DA7"/>
    <w:rsid w:val="00080F15"/>
    <w:rsid w:val="00080FC1"/>
    <w:rsid w:val="00081102"/>
    <w:rsid w:val="00081385"/>
    <w:rsid w:val="000813D7"/>
    <w:rsid w:val="000813E4"/>
    <w:rsid w:val="00081401"/>
    <w:rsid w:val="000815E7"/>
    <w:rsid w:val="00081737"/>
    <w:rsid w:val="0008192F"/>
    <w:rsid w:val="00081930"/>
    <w:rsid w:val="00081A3E"/>
    <w:rsid w:val="00081B73"/>
    <w:rsid w:val="00082138"/>
    <w:rsid w:val="00082282"/>
    <w:rsid w:val="0008233F"/>
    <w:rsid w:val="0008242A"/>
    <w:rsid w:val="000827DF"/>
    <w:rsid w:val="000828EA"/>
    <w:rsid w:val="00082A56"/>
    <w:rsid w:val="00082C8B"/>
    <w:rsid w:val="00082E46"/>
    <w:rsid w:val="00083148"/>
    <w:rsid w:val="0008326F"/>
    <w:rsid w:val="00083442"/>
    <w:rsid w:val="0008354D"/>
    <w:rsid w:val="00083591"/>
    <w:rsid w:val="00083979"/>
    <w:rsid w:val="000839B3"/>
    <w:rsid w:val="00083B0E"/>
    <w:rsid w:val="00083CC7"/>
    <w:rsid w:val="00083F46"/>
    <w:rsid w:val="000840CC"/>
    <w:rsid w:val="000840D9"/>
    <w:rsid w:val="00084305"/>
    <w:rsid w:val="00084412"/>
    <w:rsid w:val="0008448D"/>
    <w:rsid w:val="0008466F"/>
    <w:rsid w:val="000846A6"/>
    <w:rsid w:val="00084A75"/>
    <w:rsid w:val="00084CB0"/>
    <w:rsid w:val="00084D7F"/>
    <w:rsid w:val="00084F91"/>
    <w:rsid w:val="00085293"/>
    <w:rsid w:val="000852C5"/>
    <w:rsid w:val="00085302"/>
    <w:rsid w:val="000855EF"/>
    <w:rsid w:val="00085719"/>
    <w:rsid w:val="000857A7"/>
    <w:rsid w:val="0008594E"/>
    <w:rsid w:val="00085952"/>
    <w:rsid w:val="00085B43"/>
    <w:rsid w:val="00085DEE"/>
    <w:rsid w:val="00086131"/>
    <w:rsid w:val="000867FC"/>
    <w:rsid w:val="00086829"/>
    <w:rsid w:val="000868D9"/>
    <w:rsid w:val="000869B7"/>
    <w:rsid w:val="000869E9"/>
    <w:rsid w:val="00086B98"/>
    <w:rsid w:val="00086DF3"/>
    <w:rsid w:val="00086FEB"/>
    <w:rsid w:val="00087045"/>
    <w:rsid w:val="000876C0"/>
    <w:rsid w:val="00087A41"/>
    <w:rsid w:val="00087F13"/>
    <w:rsid w:val="0009002F"/>
    <w:rsid w:val="0009012C"/>
    <w:rsid w:val="000902F5"/>
    <w:rsid w:val="00090396"/>
    <w:rsid w:val="0009045B"/>
    <w:rsid w:val="000904BB"/>
    <w:rsid w:val="00090518"/>
    <w:rsid w:val="000907B5"/>
    <w:rsid w:val="000907B9"/>
    <w:rsid w:val="0009081F"/>
    <w:rsid w:val="00090A17"/>
    <w:rsid w:val="00090AAF"/>
    <w:rsid w:val="00090B00"/>
    <w:rsid w:val="00090B08"/>
    <w:rsid w:val="00090B0A"/>
    <w:rsid w:val="00090E6A"/>
    <w:rsid w:val="00090FAD"/>
    <w:rsid w:val="00091337"/>
    <w:rsid w:val="00091371"/>
    <w:rsid w:val="0009145F"/>
    <w:rsid w:val="00091477"/>
    <w:rsid w:val="000916B9"/>
    <w:rsid w:val="000918A7"/>
    <w:rsid w:val="000918AA"/>
    <w:rsid w:val="00091BD9"/>
    <w:rsid w:val="00091BE4"/>
    <w:rsid w:val="00091C5F"/>
    <w:rsid w:val="00091E83"/>
    <w:rsid w:val="00092518"/>
    <w:rsid w:val="000925DD"/>
    <w:rsid w:val="0009264C"/>
    <w:rsid w:val="00092718"/>
    <w:rsid w:val="00092BDD"/>
    <w:rsid w:val="00092CAC"/>
    <w:rsid w:val="00092CF3"/>
    <w:rsid w:val="00092D19"/>
    <w:rsid w:val="00093058"/>
    <w:rsid w:val="00093158"/>
    <w:rsid w:val="00093216"/>
    <w:rsid w:val="00093299"/>
    <w:rsid w:val="000932BB"/>
    <w:rsid w:val="0009331D"/>
    <w:rsid w:val="00093782"/>
    <w:rsid w:val="00093784"/>
    <w:rsid w:val="000937D9"/>
    <w:rsid w:val="0009384B"/>
    <w:rsid w:val="00093956"/>
    <w:rsid w:val="00093ADF"/>
    <w:rsid w:val="00093C41"/>
    <w:rsid w:val="00093D87"/>
    <w:rsid w:val="00093D95"/>
    <w:rsid w:val="00093F74"/>
    <w:rsid w:val="00093FA6"/>
    <w:rsid w:val="00094010"/>
    <w:rsid w:val="000940A1"/>
    <w:rsid w:val="0009424B"/>
    <w:rsid w:val="000947A1"/>
    <w:rsid w:val="00094811"/>
    <w:rsid w:val="000948F4"/>
    <w:rsid w:val="0009492B"/>
    <w:rsid w:val="00094A1E"/>
    <w:rsid w:val="00094A3E"/>
    <w:rsid w:val="00094BF7"/>
    <w:rsid w:val="00094C14"/>
    <w:rsid w:val="00094C7E"/>
    <w:rsid w:val="00094CD8"/>
    <w:rsid w:val="00094D80"/>
    <w:rsid w:val="00094E49"/>
    <w:rsid w:val="0009503B"/>
    <w:rsid w:val="00095491"/>
    <w:rsid w:val="000954DD"/>
    <w:rsid w:val="0009574F"/>
    <w:rsid w:val="00095929"/>
    <w:rsid w:val="00095A2D"/>
    <w:rsid w:val="00095BB2"/>
    <w:rsid w:val="00095C0D"/>
    <w:rsid w:val="00095C56"/>
    <w:rsid w:val="0009658F"/>
    <w:rsid w:val="0009666D"/>
    <w:rsid w:val="000967AA"/>
    <w:rsid w:val="00096896"/>
    <w:rsid w:val="000968F4"/>
    <w:rsid w:val="000969CB"/>
    <w:rsid w:val="00096A8D"/>
    <w:rsid w:val="00096ACC"/>
    <w:rsid w:val="00096ADC"/>
    <w:rsid w:val="00096D31"/>
    <w:rsid w:val="00096D39"/>
    <w:rsid w:val="00096F74"/>
    <w:rsid w:val="00096FB2"/>
    <w:rsid w:val="000971CC"/>
    <w:rsid w:val="00097478"/>
    <w:rsid w:val="0009748B"/>
    <w:rsid w:val="00097493"/>
    <w:rsid w:val="0009769B"/>
    <w:rsid w:val="0009789B"/>
    <w:rsid w:val="00097D1D"/>
    <w:rsid w:val="00097F69"/>
    <w:rsid w:val="000A0346"/>
    <w:rsid w:val="000A034D"/>
    <w:rsid w:val="000A041D"/>
    <w:rsid w:val="000A0730"/>
    <w:rsid w:val="000A08A2"/>
    <w:rsid w:val="000A0A7B"/>
    <w:rsid w:val="000A0D38"/>
    <w:rsid w:val="000A0D40"/>
    <w:rsid w:val="000A0DB5"/>
    <w:rsid w:val="000A0E57"/>
    <w:rsid w:val="000A1112"/>
    <w:rsid w:val="000A1188"/>
    <w:rsid w:val="000A12CF"/>
    <w:rsid w:val="000A1323"/>
    <w:rsid w:val="000A13FD"/>
    <w:rsid w:val="000A162D"/>
    <w:rsid w:val="000A164D"/>
    <w:rsid w:val="000A1672"/>
    <w:rsid w:val="000A1A06"/>
    <w:rsid w:val="000A1AF4"/>
    <w:rsid w:val="000A1AF7"/>
    <w:rsid w:val="000A1B98"/>
    <w:rsid w:val="000A1DF2"/>
    <w:rsid w:val="000A1EBB"/>
    <w:rsid w:val="000A2174"/>
    <w:rsid w:val="000A218C"/>
    <w:rsid w:val="000A2375"/>
    <w:rsid w:val="000A23A5"/>
    <w:rsid w:val="000A24A2"/>
    <w:rsid w:val="000A2572"/>
    <w:rsid w:val="000A2771"/>
    <w:rsid w:val="000A28B0"/>
    <w:rsid w:val="000A299C"/>
    <w:rsid w:val="000A2E47"/>
    <w:rsid w:val="000A2F97"/>
    <w:rsid w:val="000A3206"/>
    <w:rsid w:val="000A3230"/>
    <w:rsid w:val="000A34A6"/>
    <w:rsid w:val="000A3606"/>
    <w:rsid w:val="000A378B"/>
    <w:rsid w:val="000A37CD"/>
    <w:rsid w:val="000A391A"/>
    <w:rsid w:val="000A39A7"/>
    <w:rsid w:val="000A39E1"/>
    <w:rsid w:val="000A39E8"/>
    <w:rsid w:val="000A3A07"/>
    <w:rsid w:val="000A3BE7"/>
    <w:rsid w:val="000A3F36"/>
    <w:rsid w:val="000A3F44"/>
    <w:rsid w:val="000A3FFE"/>
    <w:rsid w:val="000A401F"/>
    <w:rsid w:val="000A4093"/>
    <w:rsid w:val="000A40A7"/>
    <w:rsid w:val="000A4296"/>
    <w:rsid w:val="000A44C1"/>
    <w:rsid w:val="000A46FE"/>
    <w:rsid w:val="000A4707"/>
    <w:rsid w:val="000A4CB2"/>
    <w:rsid w:val="000A4D28"/>
    <w:rsid w:val="000A4DEE"/>
    <w:rsid w:val="000A4ED9"/>
    <w:rsid w:val="000A4F86"/>
    <w:rsid w:val="000A5122"/>
    <w:rsid w:val="000A5255"/>
    <w:rsid w:val="000A5266"/>
    <w:rsid w:val="000A52D8"/>
    <w:rsid w:val="000A5848"/>
    <w:rsid w:val="000A5972"/>
    <w:rsid w:val="000A5A28"/>
    <w:rsid w:val="000A5B70"/>
    <w:rsid w:val="000A5B9E"/>
    <w:rsid w:val="000A5BB7"/>
    <w:rsid w:val="000A5C7A"/>
    <w:rsid w:val="000A5CC0"/>
    <w:rsid w:val="000A5FBD"/>
    <w:rsid w:val="000A6225"/>
    <w:rsid w:val="000A62BB"/>
    <w:rsid w:val="000A6396"/>
    <w:rsid w:val="000A659D"/>
    <w:rsid w:val="000A673B"/>
    <w:rsid w:val="000A69AC"/>
    <w:rsid w:val="000A6B44"/>
    <w:rsid w:val="000A6DAD"/>
    <w:rsid w:val="000A6EF0"/>
    <w:rsid w:val="000A6F2F"/>
    <w:rsid w:val="000A6FD1"/>
    <w:rsid w:val="000A7153"/>
    <w:rsid w:val="000A7430"/>
    <w:rsid w:val="000A7496"/>
    <w:rsid w:val="000A74CB"/>
    <w:rsid w:val="000A75B7"/>
    <w:rsid w:val="000A75F8"/>
    <w:rsid w:val="000A766A"/>
    <w:rsid w:val="000A76AA"/>
    <w:rsid w:val="000A7743"/>
    <w:rsid w:val="000A7825"/>
    <w:rsid w:val="000A7989"/>
    <w:rsid w:val="000A7A0D"/>
    <w:rsid w:val="000A7A8F"/>
    <w:rsid w:val="000A7AAF"/>
    <w:rsid w:val="000A7D62"/>
    <w:rsid w:val="000A7E12"/>
    <w:rsid w:val="000B0062"/>
    <w:rsid w:val="000B0066"/>
    <w:rsid w:val="000B009B"/>
    <w:rsid w:val="000B0810"/>
    <w:rsid w:val="000B0956"/>
    <w:rsid w:val="000B0978"/>
    <w:rsid w:val="000B09A0"/>
    <w:rsid w:val="000B09F7"/>
    <w:rsid w:val="000B0A7E"/>
    <w:rsid w:val="000B0C33"/>
    <w:rsid w:val="000B0C9E"/>
    <w:rsid w:val="000B0D0B"/>
    <w:rsid w:val="000B0E84"/>
    <w:rsid w:val="000B0FAD"/>
    <w:rsid w:val="000B10F2"/>
    <w:rsid w:val="000B1102"/>
    <w:rsid w:val="000B1309"/>
    <w:rsid w:val="000B13D7"/>
    <w:rsid w:val="000B14FC"/>
    <w:rsid w:val="000B16D7"/>
    <w:rsid w:val="000B1893"/>
    <w:rsid w:val="000B19A4"/>
    <w:rsid w:val="000B19D7"/>
    <w:rsid w:val="000B1BA6"/>
    <w:rsid w:val="000B1C85"/>
    <w:rsid w:val="000B1DC6"/>
    <w:rsid w:val="000B1EB8"/>
    <w:rsid w:val="000B205C"/>
    <w:rsid w:val="000B22D1"/>
    <w:rsid w:val="000B23DD"/>
    <w:rsid w:val="000B2484"/>
    <w:rsid w:val="000B24A2"/>
    <w:rsid w:val="000B25CA"/>
    <w:rsid w:val="000B2658"/>
    <w:rsid w:val="000B277D"/>
    <w:rsid w:val="000B2805"/>
    <w:rsid w:val="000B28E4"/>
    <w:rsid w:val="000B2B1F"/>
    <w:rsid w:val="000B2B64"/>
    <w:rsid w:val="000B2B6E"/>
    <w:rsid w:val="000B2C54"/>
    <w:rsid w:val="000B2CEB"/>
    <w:rsid w:val="000B2D4E"/>
    <w:rsid w:val="000B2DDB"/>
    <w:rsid w:val="000B2FC0"/>
    <w:rsid w:val="000B2FE0"/>
    <w:rsid w:val="000B314F"/>
    <w:rsid w:val="000B31B4"/>
    <w:rsid w:val="000B32C1"/>
    <w:rsid w:val="000B3708"/>
    <w:rsid w:val="000B39B9"/>
    <w:rsid w:val="000B39EA"/>
    <w:rsid w:val="000B3A11"/>
    <w:rsid w:val="000B3A15"/>
    <w:rsid w:val="000B3BC7"/>
    <w:rsid w:val="000B3D45"/>
    <w:rsid w:val="000B3E60"/>
    <w:rsid w:val="000B3FFD"/>
    <w:rsid w:val="000B4126"/>
    <w:rsid w:val="000B438C"/>
    <w:rsid w:val="000B439F"/>
    <w:rsid w:val="000B44CE"/>
    <w:rsid w:val="000B47B2"/>
    <w:rsid w:val="000B47F1"/>
    <w:rsid w:val="000B4855"/>
    <w:rsid w:val="000B4B03"/>
    <w:rsid w:val="000B4B15"/>
    <w:rsid w:val="000B4B42"/>
    <w:rsid w:val="000B4D83"/>
    <w:rsid w:val="000B4FA7"/>
    <w:rsid w:val="000B509E"/>
    <w:rsid w:val="000B5177"/>
    <w:rsid w:val="000B56DA"/>
    <w:rsid w:val="000B5A8F"/>
    <w:rsid w:val="000B5B33"/>
    <w:rsid w:val="000B5EA0"/>
    <w:rsid w:val="000B5F31"/>
    <w:rsid w:val="000B60C3"/>
    <w:rsid w:val="000B6123"/>
    <w:rsid w:val="000B61DF"/>
    <w:rsid w:val="000B68AA"/>
    <w:rsid w:val="000B6982"/>
    <w:rsid w:val="000B6A0F"/>
    <w:rsid w:val="000B6BA9"/>
    <w:rsid w:val="000B6C5C"/>
    <w:rsid w:val="000B6DB0"/>
    <w:rsid w:val="000B6F19"/>
    <w:rsid w:val="000B6F59"/>
    <w:rsid w:val="000B7110"/>
    <w:rsid w:val="000B7282"/>
    <w:rsid w:val="000B75CD"/>
    <w:rsid w:val="000B7639"/>
    <w:rsid w:val="000B76BB"/>
    <w:rsid w:val="000B771E"/>
    <w:rsid w:val="000B775B"/>
    <w:rsid w:val="000B793D"/>
    <w:rsid w:val="000B7A91"/>
    <w:rsid w:val="000B7BC3"/>
    <w:rsid w:val="000C0013"/>
    <w:rsid w:val="000C031F"/>
    <w:rsid w:val="000C03E4"/>
    <w:rsid w:val="000C04E8"/>
    <w:rsid w:val="000C0632"/>
    <w:rsid w:val="000C0B1F"/>
    <w:rsid w:val="000C0DCA"/>
    <w:rsid w:val="000C0FAC"/>
    <w:rsid w:val="000C1191"/>
    <w:rsid w:val="000C14CC"/>
    <w:rsid w:val="000C1611"/>
    <w:rsid w:val="000C16F7"/>
    <w:rsid w:val="000C1A95"/>
    <w:rsid w:val="000C1C4C"/>
    <w:rsid w:val="000C1D2E"/>
    <w:rsid w:val="000C1EC2"/>
    <w:rsid w:val="000C218E"/>
    <w:rsid w:val="000C2204"/>
    <w:rsid w:val="000C22AD"/>
    <w:rsid w:val="000C22BE"/>
    <w:rsid w:val="000C2505"/>
    <w:rsid w:val="000C2533"/>
    <w:rsid w:val="000C264B"/>
    <w:rsid w:val="000C2A0B"/>
    <w:rsid w:val="000C2C61"/>
    <w:rsid w:val="000C2DA0"/>
    <w:rsid w:val="000C3046"/>
    <w:rsid w:val="000C37BB"/>
    <w:rsid w:val="000C3876"/>
    <w:rsid w:val="000C3931"/>
    <w:rsid w:val="000C3AA5"/>
    <w:rsid w:val="000C3AC0"/>
    <w:rsid w:val="000C3DE6"/>
    <w:rsid w:val="000C407C"/>
    <w:rsid w:val="000C482A"/>
    <w:rsid w:val="000C4A54"/>
    <w:rsid w:val="000C4A76"/>
    <w:rsid w:val="000C4D05"/>
    <w:rsid w:val="000C4F30"/>
    <w:rsid w:val="000C510F"/>
    <w:rsid w:val="000C5113"/>
    <w:rsid w:val="000C5257"/>
    <w:rsid w:val="000C5385"/>
    <w:rsid w:val="000C5469"/>
    <w:rsid w:val="000C547D"/>
    <w:rsid w:val="000C5958"/>
    <w:rsid w:val="000C598B"/>
    <w:rsid w:val="000C5BA9"/>
    <w:rsid w:val="000C5D67"/>
    <w:rsid w:val="000C5E00"/>
    <w:rsid w:val="000C5E46"/>
    <w:rsid w:val="000C5F29"/>
    <w:rsid w:val="000C5F7F"/>
    <w:rsid w:val="000C61B9"/>
    <w:rsid w:val="000C62A9"/>
    <w:rsid w:val="000C6679"/>
    <w:rsid w:val="000C6895"/>
    <w:rsid w:val="000C68BD"/>
    <w:rsid w:val="000C693C"/>
    <w:rsid w:val="000C6A33"/>
    <w:rsid w:val="000C6A51"/>
    <w:rsid w:val="000C6AA5"/>
    <w:rsid w:val="000C6B21"/>
    <w:rsid w:val="000C6C31"/>
    <w:rsid w:val="000C6C89"/>
    <w:rsid w:val="000C6D89"/>
    <w:rsid w:val="000C7024"/>
    <w:rsid w:val="000C7041"/>
    <w:rsid w:val="000C72E9"/>
    <w:rsid w:val="000C7605"/>
    <w:rsid w:val="000C7896"/>
    <w:rsid w:val="000C7DD0"/>
    <w:rsid w:val="000C7DEB"/>
    <w:rsid w:val="000D0272"/>
    <w:rsid w:val="000D02F5"/>
    <w:rsid w:val="000D0398"/>
    <w:rsid w:val="000D04BC"/>
    <w:rsid w:val="000D0531"/>
    <w:rsid w:val="000D0780"/>
    <w:rsid w:val="000D0904"/>
    <w:rsid w:val="000D0907"/>
    <w:rsid w:val="000D0AD8"/>
    <w:rsid w:val="000D0B8C"/>
    <w:rsid w:val="000D0E5E"/>
    <w:rsid w:val="000D0E79"/>
    <w:rsid w:val="000D1105"/>
    <w:rsid w:val="000D114D"/>
    <w:rsid w:val="000D115B"/>
    <w:rsid w:val="000D14B0"/>
    <w:rsid w:val="000D14B3"/>
    <w:rsid w:val="000D1657"/>
    <w:rsid w:val="000D167B"/>
    <w:rsid w:val="000D1690"/>
    <w:rsid w:val="000D1751"/>
    <w:rsid w:val="000D1772"/>
    <w:rsid w:val="000D1A58"/>
    <w:rsid w:val="000D1C6D"/>
    <w:rsid w:val="000D1CBA"/>
    <w:rsid w:val="000D2186"/>
    <w:rsid w:val="000D2264"/>
    <w:rsid w:val="000D247D"/>
    <w:rsid w:val="000D24B7"/>
    <w:rsid w:val="000D24C6"/>
    <w:rsid w:val="000D24D3"/>
    <w:rsid w:val="000D27CA"/>
    <w:rsid w:val="000D2920"/>
    <w:rsid w:val="000D2C4C"/>
    <w:rsid w:val="000D2C50"/>
    <w:rsid w:val="000D2DCD"/>
    <w:rsid w:val="000D2E14"/>
    <w:rsid w:val="000D2E28"/>
    <w:rsid w:val="000D2EE6"/>
    <w:rsid w:val="000D3083"/>
    <w:rsid w:val="000D342B"/>
    <w:rsid w:val="000D360C"/>
    <w:rsid w:val="000D3615"/>
    <w:rsid w:val="000D3779"/>
    <w:rsid w:val="000D3BAE"/>
    <w:rsid w:val="000D3BC9"/>
    <w:rsid w:val="000D3BCF"/>
    <w:rsid w:val="000D3C82"/>
    <w:rsid w:val="000D3CD2"/>
    <w:rsid w:val="000D3DDA"/>
    <w:rsid w:val="000D3DDE"/>
    <w:rsid w:val="000D3E81"/>
    <w:rsid w:val="000D40C1"/>
    <w:rsid w:val="000D42F0"/>
    <w:rsid w:val="000D4363"/>
    <w:rsid w:val="000D438D"/>
    <w:rsid w:val="000D43A4"/>
    <w:rsid w:val="000D4465"/>
    <w:rsid w:val="000D4642"/>
    <w:rsid w:val="000D4643"/>
    <w:rsid w:val="000D46AD"/>
    <w:rsid w:val="000D46B0"/>
    <w:rsid w:val="000D481C"/>
    <w:rsid w:val="000D4B2B"/>
    <w:rsid w:val="000D4B97"/>
    <w:rsid w:val="000D4BD8"/>
    <w:rsid w:val="000D4C17"/>
    <w:rsid w:val="000D4E35"/>
    <w:rsid w:val="000D51BD"/>
    <w:rsid w:val="000D5549"/>
    <w:rsid w:val="000D5680"/>
    <w:rsid w:val="000D5860"/>
    <w:rsid w:val="000D5A00"/>
    <w:rsid w:val="000D5CFE"/>
    <w:rsid w:val="000D6560"/>
    <w:rsid w:val="000D664A"/>
    <w:rsid w:val="000D66B7"/>
    <w:rsid w:val="000D66E5"/>
    <w:rsid w:val="000D66F7"/>
    <w:rsid w:val="000D6900"/>
    <w:rsid w:val="000D6B52"/>
    <w:rsid w:val="000D6BEF"/>
    <w:rsid w:val="000D6C6E"/>
    <w:rsid w:val="000D6F0B"/>
    <w:rsid w:val="000D715D"/>
    <w:rsid w:val="000D72A7"/>
    <w:rsid w:val="000D73D2"/>
    <w:rsid w:val="000D75CB"/>
    <w:rsid w:val="000D7A6A"/>
    <w:rsid w:val="000D7C14"/>
    <w:rsid w:val="000D7CDB"/>
    <w:rsid w:val="000E0090"/>
    <w:rsid w:val="000E00F4"/>
    <w:rsid w:val="000E024D"/>
    <w:rsid w:val="000E03F7"/>
    <w:rsid w:val="000E0723"/>
    <w:rsid w:val="000E07DC"/>
    <w:rsid w:val="000E085F"/>
    <w:rsid w:val="000E0A87"/>
    <w:rsid w:val="000E0B1E"/>
    <w:rsid w:val="000E0C10"/>
    <w:rsid w:val="000E0C1A"/>
    <w:rsid w:val="000E116F"/>
    <w:rsid w:val="000E1363"/>
    <w:rsid w:val="000E13BA"/>
    <w:rsid w:val="000E16B4"/>
    <w:rsid w:val="000E19E7"/>
    <w:rsid w:val="000E1A0D"/>
    <w:rsid w:val="000E1BED"/>
    <w:rsid w:val="000E1D4B"/>
    <w:rsid w:val="000E1D64"/>
    <w:rsid w:val="000E1DB4"/>
    <w:rsid w:val="000E1E0E"/>
    <w:rsid w:val="000E212A"/>
    <w:rsid w:val="000E244D"/>
    <w:rsid w:val="000E2475"/>
    <w:rsid w:val="000E249E"/>
    <w:rsid w:val="000E257B"/>
    <w:rsid w:val="000E2AF2"/>
    <w:rsid w:val="000E2BAC"/>
    <w:rsid w:val="000E2CC6"/>
    <w:rsid w:val="000E2ECE"/>
    <w:rsid w:val="000E307A"/>
    <w:rsid w:val="000E317B"/>
    <w:rsid w:val="000E32B5"/>
    <w:rsid w:val="000E32FA"/>
    <w:rsid w:val="000E3438"/>
    <w:rsid w:val="000E344A"/>
    <w:rsid w:val="000E347F"/>
    <w:rsid w:val="000E3896"/>
    <w:rsid w:val="000E3BE0"/>
    <w:rsid w:val="000E3F61"/>
    <w:rsid w:val="000E41A6"/>
    <w:rsid w:val="000E41F7"/>
    <w:rsid w:val="000E4364"/>
    <w:rsid w:val="000E4421"/>
    <w:rsid w:val="000E4425"/>
    <w:rsid w:val="000E443B"/>
    <w:rsid w:val="000E459D"/>
    <w:rsid w:val="000E45C0"/>
    <w:rsid w:val="000E45EC"/>
    <w:rsid w:val="000E46A8"/>
    <w:rsid w:val="000E4DF8"/>
    <w:rsid w:val="000E4E3C"/>
    <w:rsid w:val="000E5127"/>
    <w:rsid w:val="000E5318"/>
    <w:rsid w:val="000E535B"/>
    <w:rsid w:val="000E54B1"/>
    <w:rsid w:val="000E5572"/>
    <w:rsid w:val="000E5587"/>
    <w:rsid w:val="000E57DD"/>
    <w:rsid w:val="000E5968"/>
    <w:rsid w:val="000E5A3C"/>
    <w:rsid w:val="000E5BFC"/>
    <w:rsid w:val="000E5F15"/>
    <w:rsid w:val="000E5FB3"/>
    <w:rsid w:val="000E6069"/>
    <w:rsid w:val="000E60BE"/>
    <w:rsid w:val="000E60FF"/>
    <w:rsid w:val="000E66D9"/>
    <w:rsid w:val="000E688F"/>
    <w:rsid w:val="000E68FC"/>
    <w:rsid w:val="000E6D26"/>
    <w:rsid w:val="000E6D37"/>
    <w:rsid w:val="000E6EA8"/>
    <w:rsid w:val="000E7061"/>
    <w:rsid w:val="000E707C"/>
    <w:rsid w:val="000E73AE"/>
    <w:rsid w:val="000E7513"/>
    <w:rsid w:val="000E76F5"/>
    <w:rsid w:val="000E7825"/>
    <w:rsid w:val="000E782B"/>
    <w:rsid w:val="000E78F5"/>
    <w:rsid w:val="000E794C"/>
    <w:rsid w:val="000E7962"/>
    <w:rsid w:val="000E7BCD"/>
    <w:rsid w:val="000E7C43"/>
    <w:rsid w:val="000E7C67"/>
    <w:rsid w:val="000E7DD7"/>
    <w:rsid w:val="000E7EF0"/>
    <w:rsid w:val="000E7F00"/>
    <w:rsid w:val="000F003A"/>
    <w:rsid w:val="000F0379"/>
    <w:rsid w:val="000F0506"/>
    <w:rsid w:val="000F0611"/>
    <w:rsid w:val="000F0742"/>
    <w:rsid w:val="000F07A3"/>
    <w:rsid w:val="000F08FC"/>
    <w:rsid w:val="000F09AF"/>
    <w:rsid w:val="000F09F6"/>
    <w:rsid w:val="000F0AF6"/>
    <w:rsid w:val="000F0CD3"/>
    <w:rsid w:val="000F0D7D"/>
    <w:rsid w:val="000F1001"/>
    <w:rsid w:val="000F103D"/>
    <w:rsid w:val="000F1145"/>
    <w:rsid w:val="000F1263"/>
    <w:rsid w:val="000F1400"/>
    <w:rsid w:val="000F145B"/>
    <w:rsid w:val="000F1677"/>
    <w:rsid w:val="000F169F"/>
    <w:rsid w:val="000F16BE"/>
    <w:rsid w:val="000F1866"/>
    <w:rsid w:val="000F1A32"/>
    <w:rsid w:val="000F1A5F"/>
    <w:rsid w:val="000F1AC8"/>
    <w:rsid w:val="000F1C09"/>
    <w:rsid w:val="000F1DE3"/>
    <w:rsid w:val="000F1E9E"/>
    <w:rsid w:val="000F1F79"/>
    <w:rsid w:val="000F2026"/>
    <w:rsid w:val="000F2050"/>
    <w:rsid w:val="000F2131"/>
    <w:rsid w:val="000F22C0"/>
    <w:rsid w:val="000F24BE"/>
    <w:rsid w:val="000F25F9"/>
    <w:rsid w:val="000F273A"/>
    <w:rsid w:val="000F27EE"/>
    <w:rsid w:val="000F280B"/>
    <w:rsid w:val="000F285B"/>
    <w:rsid w:val="000F2F7A"/>
    <w:rsid w:val="000F2FAC"/>
    <w:rsid w:val="000F300C"/>
    <w:rsid w:val="000F30EE"/>
    <w:rsid w:val="000F315A"/>
    <w:rsid w:val="000F33F0"/>
    <w:rsid w:val="000F3775"/>
    <w:rsid w:val="000F37F0"/>
    <w:rsid w:val="000F3A6C"/>
    <w:rsid w:val="000F3A9C"/>
    <w:rsid w:val="000F3CD3"/>
    <w:rsid w:val="000F3DDE"/>
    <w:rsid w:val="000F3FA5"/>
    <w:rsid w:val="000F404B"/>
    <w:rsid w:val="000F435D"/>
    <w:rsid w:val="000F439E"/>
    <w:rsid w:val="000F444E"/>
    <w:rsid w:val="000F44A8"/>
    <w:rsid w:val="000F464F"/>
    <w:rsid w:val="000F4732"/>
    <w:rsid w:val="000F4CE7"/>
    <w:rsid w:val="000F4EBE"/>
    <w:rsid w:val="000F50E2"/>
    <w:rsid w:val="000F513D"/>
    <w:rsid w:val="000F51A6"/>
    <w:rsid w:val="000F52A0"/>
    <w:rsid w:val="000F569E"/>
    <w:rsid w:val="000F5765"/>
    <w:rsid w:val="000F57EF"/>
    <w:rsid w:val="000F58F1"/>
    <w:rsid w:val="000F5A1C"/>
    <w:rsid w:val="000F5AAF"/>
    <w:rsid w:val="000F5D3F"/>
    <w:rsid w:val="000F5DB8"/>
    <w:rsid w:val="000F5EC1"/>
    <w:rsid w:val="000F6309"/>
    <w:rsid w:val="000F6332"/>
    <w:rsid w:val="000F659B"/>
    <w:rsid w:val="000F6601"/>
    <w:rsid w:val="000F667F"/>
    <w:rsid w:val="000F6726"/>
    <w:rsid w:val="000F6757"/>
    <w:rsid w:val="000F6979"/>
    <w:rsid w:val="000F6C1E"/>
    <w:rsid w:val="000F6FA8"/>
    <w:rsid w:val="000F6FAB"/>
    <w:rsid w:val="000F751C"/>
    <w:rsid w:val="000F787F"/>
    <w:rsid w:val="000F7947"/>
    <w:rsid w:val="000F79A9"/>
    <w:rsid w:val="000F7ADE"/>
    <w:rsid w:val="000F7C81"/>
    <w:rsid w:val="000F7ECD"/>
    <w:rsid w:val="000F7FCD"/>
    <w:rsid w:val="000F7FF3"/>
    <w:rsid w:val="000F7FF6"/>
    <w:rsid w:val="0010020F"/>
    <w:rsid w:val="00100257"/>
    <w:rsid w:val="0010028C"/>
    <w:rsid w:val="0010048F"/>
    <w:rsid w:val="001004C1"/>
    <w:rsid w:val="00100577"/>
    <w:rsid w:val="001005AC"/>
    <w:rsid w:val="0010089D"/>
    <w:rsid w:val="0010098A"/>
    <w:rsid w:val="00100E0D"/>
    <w:rsid w:val="00100F10"/>
    <w:rsid w:val="00100FB5"/>
    <w:rsid w:val="001010F5"/>
    <w:rsid w:val="0010114A"/>
    <w:rsid w:val="0010114C"/>
    <w:rsid w:val="001011AE"/>
    <w:rsid w:val="001015A5"/>
    <w:rsid w:val="00101769"/>
    <w:rsid w:val="00101772"/>
    <w:rsid w:val="001018B1"/>
    <w:rsid w:val="0010192E"/>
    <w:rsid w:val="00101981"/>
    <w:rsid w:val="00101986"/>
    <w:rsid w:val="00101A40"/>
    <w:rsid w:val="00101D71"/>
    <w:rsid w:val="00101D8D"/>
    <w:rsid w:val="00101E34"/>
    <w:rsid w:val="00101F1B"/>
    <w:rsid w:val="00102258"/>
    <w:rsid w:val="0010246B"/>
    <w:rsid w:val="00102677"/>
    <w:rsid w:val="001026C2"/>
    <w:rsid w:val="001027AD"/>
    <w:rsid w:val="00102843"/>
    <w:rsid w:val="0010291C"/>
    <w:rsid w:val="001029E2"/>
    <w:rsid w:val="00102A18"/>
    <w:rsid w:val="00102ADE"/>
    <w:rsid w:val="00102BB4"/>
    <w:rsid w:val="00102E53"/>
    <w:rsid w:val="00102F1B"/>
    <w:rsid w:val="001030E9"/>
    <w:rsid w:val="001035EA"/>
    <w:rsid w:val="0010386A"/>
    <w:rsid w:val="0010387E"/>
    <w:rsid w:val="00103899"/>
    <w:rsid w:val="001038DF"/>
    <w:rsid w:val="00103B12"/>
    <w:rsid w:val="00103B73"/>
    <w:rsid w:val="00103C5D"/>
    <w:rsid w:val="00103CAC"/>
    <w:rsid w:val="00103FE1"/>
    <w:rsid w:val="001044FD"/>
    <w:rsid w:val="00104803"/>
    <w:rsid w:val="0010483D"/>
    <w:rsid w:val="001049EE"/>
    <w:rsid w:val="00104B89"/>
    <w:rsid w:val="0010506A"/>
    <w:rsid w:val="001050A6"/>
    <w:rsid w:val="0010523A"/>
    <w:rsid w:val="0010553D"/>
    <w:rsid w:val="00105614"/>
    <w:rsid w:val="001056E3"/>
    <w:rsid w:val="001056E6"/>
    <w:rsid w:val="00105716"/>
    <w:rsid w:val="00105795"/>
    <w:rsid w:val="00105878"/>
    <w:rsid w:val="00105912"/>
    <w:rsid w:val="001059E4"/>
    <w:rsid w:val="00105EF9"/>
    <w:rsid w:val="00105FC3"/>
    <w:rsid w:val="001060BE"/>
    <w:rsid w:val="00106347"/>
    <w:rsid w:val="001063F8"/>
    <w:rsid w:val="00106508"/>
    <w:rsid w:val="00106646"/>
    <w:rsid w:val="001066A4"/>
    <w:rsid w:val="0010677E"/>
    <w:rsid w:val="00106978"/>
    <w:rsid w:val="00106985"/>
    <w:rsid w:val="001069A6"/>
    <w:rsid w:val="00106B8A"/>
    <w:rsid w:val="00106CBB"/>
    <w:rsid w:val="00106D88"/>
    <w:rsid w:val="00106EE0"/>
    <w:rsid w:val="00106F94"/>
    <w:rsid w:val="001070F7"/>
    <w:rsid w:val="0010729D"/>
    <w:rsid w:val="001072B4"/>
    <w:rsid w:val="001073AA"/>
    <w:rsid w:val="001073F2"/>
    <w:rsid w:val="001077BB"/>
    <w:rsid w:val="00107957"/>
    <w:rsid w:val="00107987"/>
    <w:rsid w:val="00107A86"/>
    <w:rsid w:val="00107A94"/>
    <w:rsid w:val="00107D3D"/>
    <w:rsid w:val="00107D5E"/>
    <w:rsid w:val="00107E6D"/>
    <w:rsid w:val="0011017C"/>
    <w:rsid w:val="00110284"/>
    <w:rsid w:val="0011039F"/>
    <w:rsid w:val="00110511"/>
    <w:rsid w:val="001108D1"/>
    <w:rsid w:val="00110C88"/>
    <w:rsid w:val="00110D52"/>
    <w:rsid w:val="00110E1B"/>
    <w:rsid w:val="00110E53"/>
    <w:rsid w:val="00110E5F"/>
    <w:rsid w:val="00110EC7"/>
    <w:rsid w:val="00111099"/>
    <w:rsid w:val="0011128B"/>
    <w:rsid w:val="00111327"/>
    <w:rsid w:val="001115AD"/>
    <w:rsid w:val="00111660"/>
    <w:rsid w:val="00111793"/>
    <w:rsid w:val="00111AE3"/>
    <w:rsid w:val="00111DE9"/>
    <w:rsid w:val="00111F85"/>
    <w:rsid w:val="00112099"/>
    <w:rsid w:val="00112184"/>
    <w:rsid w:val="0011220D"/>
    <w:rsid w:val="001122B7"/>
    <w:rsid w:val="001123B6"/>
    <w:rsid w:val="0011275C"/>
    <w:rsid w:val="001128E6"/>
    <w:rsid w:val="001128FB"/>
    <w:rsid w:val="00112918"/>
    <w:rsid w:val="00112BC2"/>
    <w:rsid w:val="00112EED"/>
    <w:rsid w:val="00113077"/>
    <w:rsid w:val="001130C2"/>
    <w:rsid w:val="0011339D"/>
    <w:rsid w:val="001134F8"/>
    <w:rsid w:val="0011360D"/>
    <w:rsid w:val="00113725"/>
    <w:rsid w:val="00113806"/>
    <w:rsid w:val="00113AF1"/>
    <w:rsid w:val="00113B60"/>
    <w:rsid w:val="00113BBE"/>
    <w:rsid w:val="00113BC3"/>
    <w:rsid w:val="00113CAE"/>
    <w:rsid w:val="00113DAD"/>
    <w:rsid w:val="00113F8D"/>
    <w:rsid w:val="00114057"/>
    <w:rsid w:val="00114170"/>
    <w:rsid w:val="00114278"/>
    <w:rsid w:val="001142C6"/>
    <w:rsid w:val="001142DD"/>
    <w:rsid w:val="001142EF"/>
    <w:rsid w:val="00114372"/>
    <w:rsid w:val="00114777"/>
    <w:rsid w:val="0011493C"/>
    <w:rsid w:val="00114AAA"/>
    <w:rsid w:val="001151EC"/>
    <w:rsid w:val="0011525E"/>
    <w:rsid w:val="00115552"/>
    <w:rsid w:val="0011561B"/>
    <w:rsid w:val="001156B6"/>
    <w:rsid w:val="0011580E"/>
    <w:rsid w:val="00115CE1"/>
    <w:rsid w:val="00115D65"/>
    <w:rsid w:val="00116159"/>
    <w:rsid w:val="0011635A"/>
    <w:rsid w:val="00116649"/>
    <w:rsid w:val="001168D3"/>
    <w:rsid w:val="001168FE"/>
    <w:rsid w:val="00116996"/>
    <w:rsid w:val="00116CF6"/>
    <w:rsid w:val="00116D8B"/>
    <w:rsid w:val="00116D91"/>
    <w:rsid w:val="00116DB1"/>
    <w:rsid w:val="00116FB5"/>
    <w:rsid w:val="00117100"/>
    <w:rsid w:val="001172AD"/>
    <w:rsid w:val="001173B8"/>
    <w:rsid w:val="001173D9"/>
    <w:rsid w:val="00117526"/>
    <w:rsid w:val="0011769E"/>
    <w:rsid w:val="001176BA"/>
    <w:rsid w:val="0011796D"/>
    <w:rsid w:val="0011799A"/>
    <w:rsid w:val="00117A1F"/>
    <w:rsid w:val="00117B1A"/>
    <w:rsid w:val="00117DAA"/>
    <w:rsid w:val="00117FAE"/>
    <w:rsid w:val="001200C4"/>
    <w:rsid w:val="00120345"/>
    <w:rsid w:val="0012035E"/>
    <w:rsid w:val="00120470"/>
    <w:rsid w:val="001204C6"/>
    <w:rsid w:val="00120672"/>
    <w:rsid w:val="001206F6"/>
    <w:rsid w:val="001207BE"/>
    <w:rsid w:val="001208FC"/>
    <w:rsid w:val="001209F3"/>
    <w:rsid w:val="00120A0A"/>
    <w:rsid w:val="00120F1C"/>
    <w:rsid w:val="00120F2A"/>
    <w:rsid w:val="001210AE"/>
    <w:rsid w:val="00121111"/>
    <w:rsid w:val="00121241"/>
    <w:rsid w:val="00121379"/>
    <w:rsid w:val="001213C7"/>
    <w:rsid w:val="00121565"/>
    <w:rsid w:val="00121A3C"/>
    <w:rsid w:val="00121A80"/>
    <w:rsid w:val="00121A81"/>
    <w:rsid w:val="00121B18"/>
    <w:rsid w:val="00121D02"/>
    <w:rsid w:val="00121D84"/>
    <w:rsid w:val="00121F90"/>
    <w:rsid w:val="00122140"/>
    <w:rsid w:val="001221BA"/>
    <w:rsid w:val="00122329"/>
    <w:rsid w:val="00122542"/>
    <w:rsid w:val="0012276F"/>
    <w:rsid w:val="00122A0A"/>
    <w:rsid w:val="00122C2D"/>
    <w:rsid w:val="00122D34"/>
    <w:rsid w:val="00122E7D"/>
    <w:rsid w:val="001231D3"/>
    <w:rsid w:val="00123597"/>
    <w:rsid w:val="001235D2"/>
    <w:rsid w:val="00123665"/>
    <w:rsid w:val="001236DD"/>
    <w:rsid w:val="0012371B"/>
    <w:rsid w:val="0012373C"/>
    <w:rsid w:val="00123811"/>
    <w:rsid w:val="0012389F"/>
    <w:rsid w:val="001238E6"/>
    <w:rsid w:val="0012399A"/>
    <w:rsid w:val="001239D3"/>
    <w:rsid w:val="001239D5"/>
    <w:rsid w:val="00123A70"/>
    <w:rsid w:val="00123ADC"/>
    <w:rsid w:val="00123BF5"/>
    <w:rsid w:val="00123CE4"/>
    <w:rsid w:val="00123D43"/>
    <w:rsid w:val="00123D9B"/>
    <w:rsid w:val="00123DE5"/>
    <w:rsid w:val="00123E4F"/>
    <w:rsid w:val="00124271"/>
    <w:rsid w:val="001243C0"/>
    <w:rsid w:val="001243D1"/>
    <w:rsid w:val="0012447D"/>
    <w:rsid w:val="00124545"/>
    <w:rsid w:val="00124880"/>
    <w:rsid w:val="00124920"/>
    <w:rsid w:val="00124ADB"/>
    <w:rsid w:val="00124DD1"/>
    <w:rsid w:val="00124E5E"/>
    <w:rsid w:val="00124EAE"/>
    <w:rsid w:val="001251DC"/>
    <w:rsid w:val="00125252"/>
    <w:rsid w:val="001252E7"/>
    <w:rsid w:val="001252F9"/>
    <w:rsid w:val="00125383"/>
    <w:rsid w:val="001254FD"/>
    <w:rsid w:val="00125CDD"/>
    <w:rsid w:val="00125F42"/>
    <w:rsid w:val="001260B1"/>
    <w:rsid w:val="001260C8"/>
    <w:rsid w:val="001260E8"/>
    <w:rsid w:val="00126207"/>
    <w:rsid w:val="0012627C"/>
    <w:rsid w:val="0012630A"/>
    <w:rsid w:val="00126441"/>
    <w:rsid w:val="0012654A"/>
    <w:rsid w:val="00126863"/>
    <w:rsid w:val="0012689B"/>
    <w:rsid w:val="001268B1"/>
    <w:rsid w:val="001268FF"/>
    <w:rsid w:val="001269EE"/>
    <w:rsid w:val="00126AB6"/>
    <w:rsid w:val="00126B22"/>
    <w:rsid w:val="00126C65"/>
    <w:rsid w:val="00126DE0"/>
    <w:rsid w:val="0012710B"/>
    <w:rsid w:val="00127152"/>
    <w:rsid w:val="001272CA"/>
    <w:rsid w:val="00127326"/>
    <w:rsid w:val="001273EE"/>
    <w:rsid w:val="001273F7"/>
    <w:rsid w:val="00127641"/>
    <w:rsid w:val="0012764B"/>
    <w:rsid w:val="001276B6"/>
    <w:rsid w:val="00127894"/>
    <w:rsid w:val="001278B0"/>
    <w:rsid w:val="00127C71"/>
    <w:rsid w:val="00127D3B"/>
    <w:rsid w:val="00127D3D"/>
    <w:rsid w:val="00127DF8"/>
    <w:rsid w:val="00127EC5"/>
    <w:rsid w:val="00127EF4"/>
    <w:rsid w:val="00127FF6"/>
    <w:rsid w:val="00130059"/>
    <w:rsid w:val="001300B9"/>
    <w:rsid w:val="0013039A"/>
    <w:rsid w:val="00130487"/>
    <w:rsid w:val="00130528"/>
    <w:rsid w:val="0013072B"/>
    <w:rsid w:val="00130933"/>
    <w:rsid w:val="0013098F"/>
    <w:rsid w:val="001309E6"/>
    <w:rsid w:val="00130B24"/>
    <w:rsid w:val="00130F04"/>
    <w:rsid w:val="0013107C"/>
    <w:rsid w:val="0013115F"/>
    <w:rsid w:val="00131163"/>
    <w:rsid w:val="00131212"/>
    <w:rsid w:val="00131474"/>
    <w:rsid w:val="00131BAB"/>
    <w:rsid w:val="00131BE3"/>
    <w:rsid w:val="00131CA8"/>
    <w:rsid w:val="0013201F"/>
    <w:rsid w:val="001322CC"/>
    <w:rsid w:val="0013259E"/>
    <w:rsid w:val="0013266C"/>
    <w:rsid w:val="001326EE"/>
    <w:rsid w:val="0013279A"/>
    <w:rsid w:val="0013291B"/>
    <w:rsid w:val="00132988"/>
    <w:rsid w:val="001329BC"/>
    <w:rsid w:val="00132CA2"/>
    <w:rsid w:val="00132E34"/>
    <w:rsid w:val="00132FB0"/>
    <w:rsid w:val="0013306E"/>
    <w:rsid w:val="0013313C"/>
    <w:rsid w:val="00133542"/>
    <w:rsid w:val="001335A0"/>
    <w:rsid w:val="001335D2"/>
    <w:rsid w:val="001337F6"/>
    <w:rsid w:val="00133A34"/>
    <w:rsid w:val="00133DD2"/>
    <w:rsid w:val="00133DDF"/>
    <w:rsid w:val="00133E3C"/>
    <w:rsid w:val="00133F7E"/>
    <w:rsid w:val="0013429D"/>
    <w:rsid w:val="0013439D"/>
    <w:rsid w:val="001343B7"/>
    <w:rsid w:val="001343E7"/>
    <w:rsid w:val="00134818"/>
    <w:rsid w:val="001349B5"/>
    <w:rsid w:val="00134A23"/>
    <w:rsid w:val="00134F56"/>
    <w:rsid w:val="00135048"/>
    <w:rsid w:val="00135150"/>
    <w:rsid w:val="00135199"/>
    <w:rsid w:val="00135305"/>
    <w:rsid w:val="0013546A"/>
    <w:rsid w:val="001354B2"/>
    <w:rsid w:val="0013574A"/>
    <w:rsid w:val="0013579F"/>
    <w:rsid w:val="00135873"/>
    <w:rsid w:val="00135A7A"/>
    <w:rsid w:val="00135B90"/>
    <w:rsid w:val="00135C15"/>
    <w:rsid w:val="00135D1D"/>
    <w:rsid w:val="00135EA0"/>
    <w:rsid w:val="00135EA4"/>
    <w:rsid w:val="0013616D"/>
    <w:rsid w:val="001362E9"/>
    <w:rsid w:val="001364A5"/>
    <w:rsid w:val="00136571"/>
    <w:rsid w:val="00136825"/>
    <w:rsid w:val="001368E7"/>
    <w:rsid w:val="001368EC"/>
    <w:rsid w:val="001369C6"/>
    <w:rsid w:val="00136B09"/>
    <w:rsid w:val="00136B0B"/>
    <w:rsid w:val="00136B54"/>
    <w:rsid w:val="00136D28"/>
    <w:rsid w:val="00136D49"/>
    <w:rsid w:val="00136DE7"/>
    <w:rsid w:val="00136EED"/>
    <w:rsid w:val="00136FC3"/>
    <w:rsid w:val="001370F4"/>
    <w:rsid w:val="00137366"/>
    <w:rsid w:val="0013737E"/>
    <w:rsid w:val="0013757C"/>
    <w:rsid w:val="001378F6"/>
    <w:rsid w:val="00137C76"/>
    <w:rsid w:val="00137C97"/>
    <w:rsid w:val="00137E22"/>
    <w:rsid w:val="001401BF"/>
    <w:rsid w:val="00140318"/>
    <w:rsid w:val="00140465"/>
    <w:rsid w:val="001406AC"/>
    <w:rsid w:val="00140907"/>
    <w:rsid w:val="00140E97"/>
    <w:rsid w:val="0014126F"/>
    <w:rsid w:val="001412D8"/>
    <w:rsid w:val="0014164B"/>
    <w:rsid w:val="0014185C"/>
    <w:rsid w:val="00141B6B"/>
    <w:rsid w:val="00141D6C"/>
    <w:rsid w:val="00141E4F"/>
    <w:rsid w:val="00141FE8"/>
    <w:rsid w:val="00142520"/>
    <w:rsid w:val="00142610"/>
    <w:rsid w:val="001426E9"/>
    <w:rsid w:val="00142930"/>
    <w:rsid w:val="001429AD"/>
    <w:rsid w:val="00142D04"/>
    <w:rsid w:val="00142D3F"/>
    <w:rsid w:val="00142F6E"/>
    <w:rsid w:val="00142FBD"/>
    <w:rsid w:val="00143132"/>
    <w:rsid w:val="0014324A"/>
    <w:rsid w:val="00143299"/>
    <w:rsid w:val="001432BA"/>
    <w:rsid w:val="00143342"/>
    <w:rsid w:val="001433BD"/>
    <w:rsid w:val="00143511"/>
    <w:rsid w:val="00143ACD"/>
    <w:rsid w:val="00143AF2"/>
    <w:rsid w:val="00143B80"/>
    <w:rsid w:val="00143C1D"/>
    <w:rsid w:val="00143D74"/>
    <w:rsid w:val="00143DA5"/>
    <w:rsid w:val="00143DBA"/>
    <w:rsid w:val="001440BD"/>
    <w:rsid w:val="001442A2"/>
    <w:rsid w:val="001442CB"/>
    <w:rsid w:val="00144333"/>
    <w:rsid w:val="0014434F"/>
    <w:rsid w:val="0014442B"/>
    <w:rsid w:val="0014467B"/>
    <w:rsid w:val="00144913"/>
    <w:rsid w:val="00144B84"/>
    <w:rsid w:val="00144C11"/>
    <w:rsid w:val="00144C44"/>
    <w:rsid w:val="00145349"/>
    <w:rsid w:val="0014548D"/>
    <w:rsid w:val="00145492"/>
    <w:rsid w:val="001454DF"/>
    <w:rsid w:val="00145570"/>
    <w:rsid w:val="0014567E"/>
    <w:rsid w:val="001456A3"/>
    <w:rsid w:val="00145856"/>
    <w:rsid w:val="00145944"/>
    <w:rsid w:val="00145CBC"/>
    <w:rsid w:val="001460B9"/>
    <w:rsid w:val="001463C2"/>
    <w:rsid w:val="00146401"/>
    <w:rsid w:val="00146633"/>
    <w:rsid w:val="00146751"/>
    <w:rsid w:val="001468BE"/>
    <w:rsid w:val="00146B05"/>
    <w:rsid w:val="001472F1"/>
    <w:rsid w:val="001472F8"/>
    <w:rsid w:val="00147499"/>
    <w:rsid w:val="001476DE"/>
    <w:rsid w:val="00147841"/>
    <w:rsid w:val="001479A4"/>
    <w:rsid w:val="001479AF"/>
    <w:rsid w:val="001479F7"/>
    <w:rsid w:val="00147A8B"/>
    <w:rsid w:val="00147CFB"/>
    <w:rsid w:val="00147D22"/>
    <w:rsid w:val="00147DEC"/>
    <w:rsid w:val="00147E6A"/>
    <w:rsid w:val="001501A8"/>
    <w:rsid w:val="001501DC"/>
    <w:rsid w:val="00150213"/>
    <w:rsid w:val="00150421"/>
    <w:rsid w:val="0015054B"/>
    <w:rsid w:val="0015058D"/>
    <w:rsid w:val="00150602"/>
    <w:rsid w:val="00150725"/>
    <w:rsid w:val="00150B0D"/>
    <w:rsid w:val="00150E04"/>
    <w:rsid w:val="00150E85"/>
    <w:rsid w:val="00150ED3"/>
    <w:rsid w:val="00150FA7"/>
    <w:rsid w:val="00151042"/>
    <w:rsid w:val="00151052"/>
    <w:rsid w:val="001511B9"/>
    <w:rsid w:val="0015125B"/>
    <w:rsid w:val="00151346"/>
    <w:rsid w:val="00151361"/>
    <w:rsid w:val="00151427"/>
    <w:rsid w:val="001514EB"/>
    <w:rsid w:val="0015177C"/>
    <w:rsid w:val="00151850"/>
    <w:rsid w:val="00151858"/>
    <w:rsid w:val="0015185C"/>
    <w:rsid w:val="001519F1"/>
    <w:rsid w:val="00151A8D"/>
    <w:rsid w:val="00152153"/>
    <w:rsid w:val="00152409"/>
    <w:rsid w:val="0015253C"/>
    <w:rsid w:val="00152982"/>
    <w:rsid w:val="00152B5A"/>
    <w:rsid w:val="00152C41"/>
    <w:rsid w:val="00152ED1"/>
    <w:rsid w:val="001531EC"/>
    <w:rsid w:val="001534BC"/>
    <w:rsid w:val="001534D5"/>
    <w:rsid w:val="001537F0"/>
    <w:rsid w:val="001539C3"/>
    <w:rsid w:val="00153A22"/>
    <w:rsid w:val="00153B0A"/>
    <w:rsid w:val="00153BEC"/>
    <w:rsid w:val="00153D0B"/>
    <w:rsid w:val="00153DA7"/>
    <w:rsid w:val="00153EAA"/>
    <w:rsid w:val="00153F1A"/>
    <w:rsid w:val="00153FDF"/>
    <w:rsid w:val="0015407E"/>
    <w:rsid w:val="0015418C"/>
    <w:rsid w:val="001541F5"/>
    <w:rsid w:val="001544FA"/>
    <w:rsid w:val="00154503"/>
    <w:rsid w:val="00154506"/>
    <w:rsid w:val="00154648"/>
    <w:rsid w:val="0015499A"/>
    <w:rsid w:val="00154BBD"/>
    <w:rsid w:val="00154C34"/>
    <w:rsid w:val="00154EAD"/>
    <w:rsid w:val="00154F5C"/>
    <w:rsid w:val="00155067"/>
    <w:rsid w:val="00155283"/>
    <w:rsid w:val="00155392"/>
    <w:rsid w:val="00155537"/>
    <w:rsid w:val="00155561"/>
    <w:rsid w:val="001555A9"/>
    <w:rsid w:val="001558C8"/>
    <w:rsid w:val="00155AEC"/>
    <w:rsid w:val="00155BA2"/>
    <w:rsid w:val="00155EC4"/>
    <w:rsid w:val="00155F5D"/>
    <w:rsid w:val="0015620A"/>
    <w:rsid w:val="00156A23"/>
    <w:rsid w:val="00156C88"/>
    <w:rsid w:val="00156CB7"/>
    <w:rsid w:val="00156D27"/>
    <w:rsid w:val="00156F13"/>
    <w:rsid w:val="00156F98"/>
    <w:rsid w:val="00157021"/>
    <w:rsid w:val="001571C2"/>
    <w:rsid w:val="00157391"/>
    <w:rsid w:val="001574D9"/>
    <w:rsid w:val="0015775D"/>
    <w:rsid w:val="001577F2"/>
    <w:rsid w:val="00157907"/>
    <w:rsid w:val="00157AF9"/>
    <w:rsid w:val="00157EA8"/>
    <w:rsid w:val="00160042"/>
    <w:rsid w:val="00160078"/>
    <w:rsid w:val="0016014B"/>
    <w:rsid w:val="001603CC"/>
    <w:rsid w:val="001603F5"/>
    <w:rsid w:val="0016045B"/>
    <w:rsid w:val="001608DA"/>
    <w:rsid w:val="0016090B"/>
    <w:rsid w:val="00160B1E"/>
    <w:rsid w:val="00160DBD"/>
    <w:rsid w:val="00160F97"/>
    <w:rsid w:val="00161018"/>
    <w:rsid w:val="0016104E"/>
    <w:rsid w:val="0016123C"/>
    <w:rsid w:val="0016125E"/>
    <w:rsid w:val="001612D0"/>
    <w:rsid w:val="001613A0"/>
    <w:rsid w:val="00161457"/>
    <w:rsid w:val="00161514"/>
    <w:rsid w:val="001615DC"/>
    <w:rsid w:val="001618EB"/>
    <w:rsid w:val="00161A46"/>
    <w:rsid w:val="00161AAC"/>
    <w:rsid w:val="00161AE1"/>
    <w:rsid w:val="00161CBC"/>
    <w:rsid w:val="00161CEE"/>
    <w:rsid w:val="00161D11"/>
    <w:rsid w:val="0016208B"/>
    <w:rsid w:val="00162372"/>
    <w:rsid w:val="001625D9"/>
    <w:rsid w:val="00162791"/>
    <w:rsid w:val="001629D5"/>
    <w:rsid w:val="00162A45"/>
    <w:rsid w:val="00162A4C"/>
    <w:rsid w:val="00162AC4"/>
    <w:rsid w:val="00162CC1"/>
    <w:rsid w:val="00162CCD"/>
    <w:rsid w:val="00162D4C"/>
    <w:rsid w:val="00162ECB"/>
    <w:rsid w:val="00162F66"/>
    <w:rsid w:val="00162FCC"/>
    <w:rsid w:val="0016312F"/>
    <w:rsid w:val="00163405"/>
    <w:rsid w:val="00163422"/>
    <w:rsid w:val="00163427"/>
    <w:rsid w:val="00163596"/>
    <w:rsid w:val="00163637"/>
    <w:rsid w:val="0016367A"/>
    <w:rsid w:val="001639DB"/>
    <w:rsid w:val="00163B14"/>
    <w:rsid w:val="00163B29"/>
    <w:rsid w:val="00163B9D"/>
    <w:rsid w:val="00163C95"/>
    <w:rsid w:val="00163E2A"/>
    <w:rsid w:val="00163F26"/>
    <w:rsid w:val="00164058"/>
    <w:rsid w:val="00164327"/>
    <w:rsid w:val="00164706"/>
    <w:rsid w:val="00164719"/>
    <w:rsid w:val="00164872"/>
    <w:rsid w:val="00164906"/>
    <w:rsid w:val="00164CAF"/>
    <w:rsid w:val="00165236"/>
    <w:rsid w:val="00165451"/>
    <w:rsid w:val="0016546B"/>
    <w:rsid w:val="0016567D"/>
    <w:rsid w:val="001656B5"/>
    <w:rsid w:val="001656C9"/>
    <w:rsid w:val="00165859"/>
    <w:rsid w:val="00165A3C"/>
    <w:rsid w:val="00165BBF"/>
    <w:rsid w:val="00165C42"/>
    <w:rsid w:val="00165D5B"/>
    <w:rsid w:val="00165D7F"/>
    <w:rsid w:val="00165E64"/>
    <w:rsid w:val="00165F4D"/>
    <w:rsid w:val="00165F98"/>
    <w:rsid w:val="00166069"/>
    <w:rsid w:val="001663B8"/>
    <w:rsid w:val="001664D7"/>
    <w:rsid w:val="001665C2"/>
    <w:rsid w:val="00166677"/>
    <w:rsid w:val="00166791"/>
    <w:rsid w:val="00166855"/>
    <w:rsid w:val="001668C0"/>
    <w:rsid w:val="00166A9D"/>
    <w:rsid w:val="00166B65"/>
    <w:rsid w:val="00166BFB"/>
    <w:rsid w:val="00166DEB"/>
    <w:rsid w:val="00166DF9"/>
    <w:rsid w:val="00167178"/>
    <w:rsid w:val="001672CC"/>
    <w:rsid w:val="00167302"/>
    <w:rsid w:val="0016734C"/>
    <w:rsid w:val="00167401"/>
    <w:rsid w:val="0016788A"/>
    <w:rsid w:val="00167D4C"/>
    <w:rsid w:val="00167F05"/>
    <w:rsid w:val="0017012C"/>
    <w:rsid w:val="00170160"/>
    <w:rsid w:val="001701E4"/>
    <w:rsid w:val="001702CB"/>
    <w:rsid w:val="0017038D"/>
    <w:rsid w:val="001704F3"/>
    <w:rsid w:val="00170556"/>
    <w:rsid w:val="00170563"/>
    <w:rsid w:val="001707D8"/>
    <w:rsid w:val="00170AC8"/>
    <w:rsid w:val="00170B16"/>
    <w:rsid w:val="00170C36"/>
    <w:rsid w:val="00170E84"/>
    <w:rsid w:val="001710C5"/>
    <w:rsid w:val="00171808"/>
    <w:rsid w:val="0017187A"/>
    <w:rsid w:val="00171AF4"/>
    <w:rsid w:val="00171B99"/>
    <w:rsid w:val="00171CC1"/>
    <w:rsid w:val="00171D22"/>
    <w:rsid w:val="00171DA7"/>
    <w:rsid w:val="00171EB8"/>
    <w:rsid w:val="00171EBF"/>
    <w:rsid w:val="00171F2C"/>
    <w:rsid w:val="00171F99"/>
    <w:rsid w:val="00172009"/>
    <w:rsid w:val="00172042"/>
    <w:rsid w:val="001724BB"/>
    <w:rsid w:val="0017276D"/>
    <w:rsid w:val="0017279A"/>
    <w:rsid w:val="00172EF4"/>
    <w:rsid w:val="00172FAB"/>
    <w:rsid w:val="00173039"/>
    <w:rsid w:val="0017332C"/>
    <w:rsid w:val="001736AF"/>
    <w:rsid w:val="001739E6"/>
    <w:rsid w:val="00173B64"/>
    <w:rsid w:val="00173BD1"/>
    <w:rsid w:val="00173D78"/>
    <w:rsid w:val="00173D89"/>
    <w:rsid w:val="00174255"/>
    <w:rsid w:val="0017453C"/>
    <w:rsid w:val="00174645"/>
    <w:rsid w:val="001747B4"/>
    <w:rsid w:val="001747BA"/>
    <w:rsid w:val="00174898"/>
    <w:rsid w:val="00174A12"/>
    <w:rsid w:val="00174A64"/>
    <w:rsid w:val="00174A97"/>
    <w:rsid w:val="00174B99"/>
    <w:rsid w:val="00174C9C"/>
    <w:rsid w:val="00174CC9"/>
    <w:rsid w:val="00174D31"/>
    <w:rsid w:val="00174EA4"/>
    <w:rsid w:val="00174F2A"/>
    <w:rsid w:val="00175037"/>
    <w:rsid w:val="001751D9"/>
    <w:rsid w:val="0017531F"/>
    <w:rsid w:val="001756F7"/>
    <w:rsid w:val="00175A8C"/>
    <w:rsid w:val="00175DA3"/>
    <w:rsid w:val="00175E14"/>
    <w:rsid w:val="00175E9D"/>
    <w:rsid w:val="00175EA4"/>
    <w:rsid w:val="0017603E"/>
    <w:rsid w:val="00176143"/>
    <w:rsid w:val="0017645C"/>
    <w:rsid w:val="001765D4"/>
    <w:rsid w:val="0017661B"/>
    <w:rsid w:val="0017665E"/>
    <w:rsid w:val="00176849"/>
    <w:rsid w:val="00176B3F"/>
    <w:rsid w:val="00177029"/>
    <w:rsid w:val="001771B5"/>
    <w:rsid w:val="00177289"/>
    <w:rsid w:val="00177413"/>
    <w:rsid w:val="00177587"/>
    <w:rsid w:val="001777FB"/>
    <w:rsid w:val="00177815"/>
    <w:rsid w:val="0017786C"/>
    <w:rsid w:val="001778E3"/>
    <w:rsid w:val="0017797A"/>
    <w:rsid w:val="00177B81"/>
    <w:rsid w:val="00177C4A"/>
    <w:rsid w:val="00177C6D"/>
    <w:rsid w:val="00177E85"/>
    <w:rsid w:val="00177E86"/>
    <w:rsid w:val="00177EC4"/>
    <w:rsid w:val="001801C1"/>
    <w:rsid w:val="001801D5"/>
    <w:rsid w:val="00180427"/>
    <w:rsid w:val="00180644"/>
    <w:rsid w:val="0018069F"/>
    <w:rsid w:val="0018084E"/>
    <w:rsid w:val="001809D5"/>
    <w:rsid w:val="00180AF3"/>
    <w:rsid w:val="00180E46"/>
    <w:rsid w:val="00181289"/>
    <w:rsid w:val="001814FE"/>
    <w:rsid w:val="00181578"/>
    <w:rsid w:val="00181A92"/>
    <w:rsid w:val="00181EFA"/>
    <w:rsid w:val="00181F11"/>
    <w:rsid w:val="001820C2"/>
    <w:rsid w:val="001821A7"/>
    <w:rsid w:val="001822FD"/>
    <w:rsid w:val="00182384"/>
    <w:rsid w:val="001826A5"/>
    <w:rsid w:val="001828E0"/>
    <w:rsid w:val="00182DC7"/>
    <w:rsid w:val="00182EF9"/>
    <w:rsid w:val="00183106"/>
    <w:rsid w:val="00183292"/>
    <w:rsid w:val="001838B4"/>
    <w:rsid w:val="00183ADC"/>
    <w:rsid w:val="00183B71"/>
    <w:rsid w:val="00183EE8"/>
    <w:rsid w:val="00183F88"/>
    <w:rsid w:val="00183F92"/>
    <w:rsid w:val="00184176"/>
    <w:rsid w:val="001841C3"/>
    <w:rsid w:val="001842B8"/>
    <w:rsid w:val="00184347"/>
    <w:rsid w:val="001843DC"/>
    <w:rsid w:val="00184403"/>
    <w:rsid w:val="00184634"/>
    <w:rsid w:val="00184AB9"/>
    <w:rsid w:val="00184E36"/>
    <w:rsid w:val="0018504B"/>
    <w:rsid w:val="001850CC"/>
    <w:rsid w:val="00185221"/>
    <w:rsid w:val="00185250"/>
    <w:rsid w:val="00185425"/>
    <w:rsid w:val="00185761"/>
    <w:rsid w:val="0018585D"/>
    <w:rsid w:val="00185934"/>
    <w:rsid w:val="001859B6"/>
    <w:rsid w:val="001861B9"/>
    <w:rsid w:val="0018634F"/>
    <w:rsid w:val="00186699"/>
    <w:rsid w:val="001869AE"/>
    <w:rsid w:val="001869DC"/>
    <w:rsid w:val="00186A28"/>
    <w:rsid w:val="00186A9A"/>
    <w:rsid w:val="00186A9D"/>
    <w:rsid w:val="00186B92"/>
    <w:rsid w:val="00186BB9"/>
    <w:rsid w:val="00186C1C"/>
    <w:rsid w:val="00186D46"/>
    <w:rsid w:val="00187123"/>
    <w:rsid w:val="0018723F"/>
    <w:rsid w:val="0018735C"/>
    <w:rsid w:val="00187375"/>
    <w:rsid w:val="001875A7"/>
    <w:rsid w:val="0018762D"/>
    <w:rsid w:val="00187909"/>
    <w:rsid w:val="00187A2F"/>
    <w:rsid w:val="00187A45"/>
    <w:rsid w:val="00187BA4"/>
    <w:rsid w:val="00187D52"/>
    <w:rsid w:val="00187DAC"/>
    <w:rsid w:val="00187F06"/>
    <w:rsid w:val="00190221"/>
    <w:rsid w:val="00190228"/>
    <w:rsid w:val="001902F6"/>
    <w:rsid w:val="00190347"/>
    <w:rsid w:val="001903D7"/>
    <w:rsid w:val="00190456"/>
    <w:rsid w:val="00190481"/>
    <w:rsid w:val="00190564"/>
    <w:rsid w:val="001905BF"/>
    <w:rsid w:val="001907B8"/>
    <w:rsid w:val="00190976"/>
    <w:rsid w:val="00190A46"/>
    <w:rsid w:val="00190A4B"/>
    <w:rsid w:val="00190B15"/>
    <w:rsid w:val="00190B43"/>
    <w:rsid w:val="00190E5E"/>
    <w:rsid w:val="0019102A"/>
    <w:rsid w:val="0019119C"/>
    <w:rsid w:val="001911F7"/>
    <w:rsid w:val="00191631"/>
    <w:rsid w:val="00191876"/>
    <w:rsid w:val="001919D5"/>
    <w:rsid w:val="00191C17"/>
    <w:rsid w:val="00191CD3"/>
    <w:rsid w:val="00191EC0"/>
    <w:rsid w:val="00191ECE"/>
    <w:rsid w:val="00191EEC"/>
    <w:rsid w:val="00191F83"/>
    <w:rsid w:val="0019210B"/>
    <w:rsid w:val="0019210E"/>
    <w:rsid w:val="00192567"/>
    <w:rsid w:val="0019267C"/>
    <w:rsid w:val="001926F0"/>
    <w:rsid w:val="001927AC"/>
    <w:rsid w:val="0019281C"/>
    <w:rsid w:val="00192896"/>
    <w:rsid w:val="00192CB6"/>
    <w:rsid w:val="00192CF0"/>
    <w:rsid w:val="00192DC2"/>
    <w:rsid w:val="00192E28"/>
    <w:rsid w:val="00192E92"/>
    <w:rsid w:val="00192FAD"/>
    <w:rsid w:val="0019303B"/>
    <w:rsid w:val="00193121"/>
    <w:rsid w:val="00193150"/>
    <w:rsid w:val="001932DF"/>
    <w:rsid w:val="0019335E"/>
    <w:rsid w:val="0019337D"/>
    <w:rsid w:val="00193437"/>
    <w:rsid w:val="001936A2"/>
    <w:rsid w:val="00193710"/>
    <w:rsid w:val="00193754"/>
    <w:rsid w:val="0019394B"/>
    <w:rsid w:val="00193BE8"/>
    <w:rsid w:val="00193C2E"/>
    <w:rsid w:val="00193C39"/>
    <w:rsid w:val="00193DF0"/>
    <w:rsid w:val="00194148"/>
    <w:rsid w:val="00194494"/>
    <w:rsid w:val="0019465B"/>
    <w:rsid w:val="00194678"/>
    <w:rsid w:val="001946F8"/>
    <w:rsid w:val="00194AD9"/>
    <w:rsid w:val="00194B8A"/>
    <w:rsid w:val="00194C8A"/>
    <w:rsid w:val="00195075"/>
    <w:rsid w:val="00195197"/>
    <w:rsid w:val="0019584F"/>
    <w:rsid w:val="00195956"/>
    <w:rsid w:val="00195BA9"/>
    <w:rsid w:val="00195D10"/>
    <w:rsid w:val="00195D8F"/>
    <w:rsid w:val="001961B0"/>
    <w:rsid w:val="00196500"/>
    <w:rsid w:val="001965D6"/>
    <w:rsid w:val="0019682E"/>
    <w:rsid w:val="00196851"/>
    <w:rsid w:val="001968AA"/>
    <w:rsid w:val="00196E63"/>
    <w:rsid w:val="00196E80"/>
    <w:rsid w:val="00196F3E"/>
    <w:rsid w:val="001970A4"/>
    <w:rsid w:val="00197189"/>
    <w:rsid w:val="001971B9"/>
    <w:rsid w:val="001972ED"/>
    <w:rsid w:val="00197370"/>
    <w:rsid w:val="001973F2"/>
    <w:rsid w:val="001974EB"/>
    <w:rsid w:val="00197596"/>
    <w:rsid w:val="001975E5"/>
    <w:rsid w:val="001976C5"/>
    <w:rsid w:val="00197A16"/>
    <w:rsid w:val="00197AE4"/>
    <w:rsid w:val="00197B5D"/>
    <w:rsid w:val="00197B8C"/>
    <w:rsid w:val="00197BD6"/>
    <w:rsid w:val="00197C14"/>
    <w:rsid w:val="00197CB3"/>
    <w:rsid w:val="00197DCE"/>
    <w:rsid w:val="00197E59"/>
    <w:rsid w:val="00197E6C"/>
    <w:rsid w:val="00197FAB"/>
    <w:rsid w:val="001A01E3"/>
    <w:rsid w:val="001A026D"/>
    <w:rsid w:val="001A029C"/>
    <w:rsid w:val="001A0304"/>
    <w:rsid w:val="001A0356"/>
    <w:rsid w:val="001A05B4"/>
    <w:rsid w:val="001A067F"/>
    <w:rsid w:val="001A07FE"/>
    <w:rsid w:val="001A0934"/>
    <w:rsid w:val="001A0A17"/>
    <w:rsid w:val="001A0D5D"/>
    <w:rsid w:val="001A0DF7"/>
    <w:rsid w:val="001A0DFB"/>
    <w:rsid w:val="001A0E5E"/>
    <w:rsid w:val="001A0F0E"/>
    <w:rsid w:val="001A1043"/>
    <w:rsid w:val="001A1371"/>
    <w:rsid w:val="001A157D"/>
    <w:rsid w:val="001A17BF"/>
    <w:rsid w:val="001A1A43"/>
    <w:rsid w:val="001A1B63"/>
    <w:rsid w:val="001A1CE6"/>
    <w:rsid w:val="001A1DF4"/>
    <w:rsid w:val="001A1E51"/>
    <w:rsid w:val="001A2056"/>
    <w:rsid w:val="001A20CD"/>
    <w:rsid w:val="001A23A2"/>
    <w:rsid w:val="001A23C4"/>
    <w:rsid w:val="001A25AD"/>
    <w:rsid w:val="001A263A"/>
    <w:rsid w:val="001A2761"/>
    <w:rsid w:val="001A2798"/>
    <w:rsid w:val="001A28F4"/>
    <w:rsid w:val="001A2917"/>
    <w:rsid w:val="001A2951"/>
    <w:rsid w:val="001A2986"/>
    <w:rsid w:val="001A2A46"/>
    <w:rsid w:val="001A2B67"/>
    <w:rsid w:val="001A2C6C"/>
    <w:rsid w:val="001A2D91"/>
    <w:rsid w:val="001A2FCF"/>
    <w:rsid w:val="001A3483"/>
    <w:rsid w:val="001A348E"/>
    <w:rsid w:val="001A35EB"/>
    <w:rsid w:val="001A3879"/>
    <w:rsid w:val="001A38CD"/>
    <w:rsid w:val="001A3AEF"/>
    <w:rsid w:val="001A4144"/>
    <w:rsid w:val="001A418B"/>
    <w:rsid w:val="001A42A6"/>
    <w:rsid w:val="001A4336"/>
    <w:rsid w:val="001A4491"/>
    <w:rsid w:val="001A44E3"/>
    <w:rsid w:val="001A45E1"/>
    <w:rsid w:val="001A47CD"/>
    <w:rsid w:val="001A4887"/>
    <w:rsid w:val="001A48B1"/>
    <w:rsid w:val="001A4E08"/>
    <w:rsid w:val="001A4E23"/>
    <w:rsid w:val="001A4EA8"/>
    <w:rsid w:val="001A4F3A"/>
    <w:rsid w:val="001A4F5E"/>
    <w:rsid w:val="001A52F5"/>
    <w:rsid w:val="001A55D5"/>
    <w:rsid w:val="001A56E7"/>
    <w:rsid w:val="001A588B"/>
    <w:rsid w:val="001A5980"/>
    <w:rsid w:val="001A5B4B"/>
    <w:rsid w:val="001A5BDC"/>
    <w:rsid w:val="001A5DD4"/>
    <w:rsid w:val="001A5F99"/>
    <w:rsid w:val="001A60FA"/>
    <w:rsid w:val="001A6111"/>
    <w:rsid w:val="001A6202"/>
    <w:rsid w:val="001A65DB"/>
    <w:rsid w:val="001A6A60"/>
    <w:rsid w:val="001A6AC4"/>
    <w:rsid w:val="001A6C63"/>
    <w:rsid w:val="001A7903"/>
    <w:rsid w:val="001A7A6E"/>
    <w:rsid w:val="001A7BE6"/>
    <w:rsid w:val="001A7C4B"/>
    <w:rsid w:val="001A7CB9"/>
    <w:rsid w:val="001A7DA2"/>
    <w:rsid w:val="001B00E5"/>
    <w:rsid w:val="001B034B"/>
    <w:rsid w:val="001B0357"/>
    <w:rsid w:val="001B058C"/>
    <w:rsid w:val="001B05C4"/>
    <w:rsid w:val="001B0617"/>
    <w:rsid w:val="001B0671"/>
    <w:rsid w:val="001B0732"/>
    <w:rsid w:val="001B077B"/>
    <w:rsid w:val="001B07D9"/>
    <w:rsid w:val="001B0971"/>
    <w:rsid w:val="001B0A03"/>
    <w:rsid w:val="001B0A0B"/>
    <w:rsid w:val="001B0C9C"/>
    <w:rsid w:val="001B0CB7"/>
    <w:rsid w:val="001B0FB7"/>
    <w:rsid w:val="001B130F"/>
    <w:rsid w:val="001B1A4D"/>
    <w:rsid w:val="001B1B3B"/>
    <w:rsid w:val="001B1B3C"/>
    <w:rsid w:val="001B1B70"/>
    <w:rsid w:val="001B1F35"/>
    <w:rsid w:val="001B21EF"/>
    <w:rsid w:val="001B222E"/>
    <w:rsid w:val="001B2253"/>
    <w:rsid w:val="001B228D"/>
    <w:rsid w:val="001B23E9"/>
    <w:rsid w:val="001B2435"/>
    <w:rsid w:val="001B2586"/>
    <w:rsid w:val="001B25E5"/>
    <w:rsid w:val="001B2987"/>
    <w:rsid w:val="001B2ABE"/>
    <w:rsid w:val="001B2C03"/>
    <w:rsid w:val="001B2CEC"/>
    <w:rsid w:val="001B2F06"/>
    <w:rsid w:val="001B3097"/>
    <w:rsid w:val="001B3247"/>
    <w:rsid w:val="001B3286"/>
    <w:rsid w:val="001B331E"/>
    <w:rsid w:val="001B3322"/>
    <w:rsid w:val="001B378C"/>
    <w:rsid w:val="001B3ABA"/>
    <w:rsid w:val="001B3AE4"/>
    <w:rsid w:val="001B3B85"/>
    <w:rsid w:val="001B3BB3"/>
    <w:rsid w:val="001B3DB3"/>
    <w:rsid w:val="001B3DBA"/>
    <w:rsid w:val="001B3E1B"/>
    <w:rsid w:val="001B406F"/>
    <w:rsid w:val="001B43F1"/>
    <w:rsid w:val="001B4519"/>
    <w:rsid w:val="001B4666"/>
    <w:rsid w:val="001B46A2"/>
    <w:rsid w:val="001B4834"/>
    <w:rsid w:val="001B488C"/>
    <w:rsid w:val="001B491F"/>
    <w:rsid w:val="001B4B9D"/>
    <w:rsid w:val="001B4BEF"/>
    <w:rsid w:val="001B4C86"/>
    <w:rsid w:val="001B4F0E"/>
    <w:rsid w:val="001B4FED"/>
    <w:rsid w:val="001B503E"/>
    <w:rsid w:val="001B5057"/>
    <w:rsid w:val="001B520E"/>
    <w:rsid w:val="001B5394"/>
    <w:rsid w:val="001B553E"/>
    <w:rsid w:val="001B582D"/>
    <w:rsid w:val="001B5C2E"/>
    <w:rsid w:val="001B5C5D"/>
    <w:rsid w:val="001B5ED0"/>
    <w:rsid w:val="001B5F36"/>
    <w:rsid w:val="001B5FA7"/>
    <w:rsid w:val="001B64CA"/>
    <w:rsid w:val="001B67DA"/>
    <w:rsid w:val="001B685D"/>
    <w:rsid w:val="001B69AD"/>
    <w:rsid w:val="001B6A22"/>
    <w:rsid w:val="001B6ABD"/>
    <w:rsid w:val="001B6B4B"/>
    <w:rsid w:val="001B6D1E"/>
    <w:rsid w:val="001B6E4C"/>
    <w:rsid w:val="001B6EFC"/>
    <w:rsid w:val="001B70D8"/>
    <w:rsid w:val="001B715F"/>
    <w:rsid w:val="001B721E"/>
    <w:rsid w:val="001B72A5"/>
    <w:rsid w:val="001B72CF"/>
    <w:rsid w:val="001B7349"/>
    <w:rsid w:val="001B735A"/>
    <w:rsid w:val="001B74B1"/>
    <w:rsid w:val="001B76ED"/>
    <w:rsid w:val="001B78E7"/>
    <w:rsid w:val="001B791B"/>
    <w:rsid w:val="001B796A"/>
    <w:rsid w:val="001B7B8C"/>
    <w:rsid w:val="001B7D47"/>
    <w:rsid w:val="001C0009"/>
    <w:rsid w:val="001C010F"/>
    <w:rsid w:val="001C044A"/>
    <w:rsid w:val="001C04C0"/>
    <w:rsid w:val="001C0559"/>
    <w:rsid w:val="001C078C"/>
    <w:rsid w:val="001C07E7"/>
    <w:rsid w:val="001C096B"/>
    <w:rsid w:val="001C0BF4"/>
    <w:rsid w:val="001C0D4D"/>
    <w:rsid w:val="001C0DE4"/>
    <w:rsid w:val="001C0E24"/>
    <w:rsid w:val="001C0E6B"/>
    <w:rsid w:val="001C0FE4"/>
    <w:rsid w:val="001C0FEF"/>
    <w:rsid w:val="001C11AD"/>
    <w:rsid w:val="001C11D9"/>
    <w:rsid w:val="001C1230"/>
    <w:rsid w:val="001C141D"/>
    <w:rsid w:val="001C1426"/>
    <w:rsid w:val="001C14CC"/>
    <w:rsid w:val="001C1556"/>
    <w:rsid w:val="001C167E"/>
    <w:rsid w:val="001C16E1"/>
    <w:rsid w:val="001C1A7C"/>
    <w:rsid w:val="001C1BBE"/>
    <w:rsid w:val="001C1C10"/>
    <w:rsid w:val="001C1D22"/>
    <w:rsid w:val="001C2515"/>
    <w:rsid w:val="001C2555"/>
    <w:rsid w:val="001C286B"/>
    <w:rsid w:val="001C2889"/>
    <w:rsid w:val="001C2BC8"/>
    <w:rsid w:val="001C2C53"/>
    <w:rsid w:val="001C2CF1"/>
    <w:rsid w:val="001C2D03"/>
    <w:rsid w:val="001C2E21"/>
    <w:rsid w:val="001C2E2B"/>
    <w:rsid w:val="001C2E6A"/>
    <w:rsid w:val="001C2FEB"/>
    <w:rsid w:val="001C30C4"/>
    <w:rsid w:val="001C34AA"/>
    <w:rsid w:val="001C3A4F"/>
    <w:rsid w:val="001C3A8E"/>
    <w:rsid w:val="001C3C85"/>
    <w:rsid w:val="001C3EF8"/>
    <w:rsid w:val="001C43A8"/>
    <w:rsid w:val="001C43B9"/>
    <w:rsid w:val="001C4736"/>
    <w:rsid w:val="001C49C3"/>
    <w:rsid w:val="001C4BDF"/>
    <w:rsid w:val="001C4C4E"/>
    <w:rsid w:val="001C4DE2"/>
    <w:rsid w:val="001C4E72"/>
    <w:rsid w:val="001C4E81"/>
    <w:rsid w:val="001C4E9F"/>
    <w:rsid w:val="001C503F"/>
    <w:rsid w:val="001C5172"/>
    <w:rsid w:val="001C53BD"/>
    <w:rsid w:val="001C54D3"/>
    <w:rsid w:val="001C559F"/>
    <w:rsid w:val="001C57ED"/>
    <w:rsid w:val="001C592D"/>
    <w:rsid w:val="001C5A65"/>
    <w:rsid w:val="001C5E76"/>
    <w:rsid w:val="001C60B1"/>
    <w:rsid w:val="001C61E5"/>
    <w:rsid w:val="001C62B0"/>
    <w:rsid w:val="001C657E"/>
    <w:rsid w:val="001C6598"/>
    <w:rsid w:val="001C6600"/>
    <w:rsid w:val="001C6640"/>
    <w:rsid w:val="001C683C"/>
    <w:rsid w:val="001C6878"/>
    <w:rsid w:val="001C6A57"/>
    <w:rsid w:val="001C6BF2"/>
    <w:rsid w:val="001C6CC6"/>
    <w:rsid w:val="001C6ECB"/>
    <w:rsid w:val="001C7032"/>
    <w:rsid w:val="001C7289"/>
    <w:rsid w:val="001C7384"/>
    <w:rsid w:val="001C7574"/>
    <w:rsid w:val="001C780C"/>
    <w:rsid w:val="001C7B46"/>
    <w:rsid w:val="001C7C9C"/>
    <w:rsid w:val="001C7E60"/>
    <w:rsid w:val="001C7F42"/>
    <w:rsid w:val="001C7F72"/>
    <w:rsid w:val="001D018E"/>
    <w:rsid w:val="001D01CB"/>
    <w:rsid w:val="001D0361"/>
    <w:rsid w:val="001D03B1"/>
    <w:rsid w:val="001D0668"/>
    <w:rsid w:val="001D066B"/>
    <w:rsid w:val="001D06A7"/>
    <w:rsid w:val="001D06EC"/>
    <w:rsid w:val="001D07C9"/>
    <w:rsid w:val="001D08CE"/>
    <w:rsid w:val="001D0AAC"/>
    <w:rsid w:val="001D0D27"/>
    <w:rsid w:val="001D0D40"/>
    <w:rsid w:val="001D0DB8"/>
    <w:rsid w:val="001D0E60"/>
    <w:rsid w:val="001D0EC1"/>
    <w:rsid w:val="001D0F47"/>
    <w:rsid w:val="001D1011"/>
    <w:rsid w:val="001D155D"/>
    <w:rsid w:val="001D157B"/>
    <w:rsid w:val="001D1687"/>
    <w:rsid w:val="001D16F1"/>
    <w:rsid w:val="001D1880"/>
    <w:rsid w:val="001D1914"/>
    <w:rsid w:val="001D198B"/>
    <w:rsid w:val="001D1AF3"/>
    <w:rsid w:val="001D1B3C"/>
    <w:rsid w:val="001D1CE1"/>
    <w:rsid w:val="001D1D30"/>
    <w:rsid w:val="001D1DDD"/>
    <w:rsid w:val="001D1E8F"/>
    <w:rsid w:val="001D1FDF"/>
    <w:rsid w:val="001D21FF"/>
    <w:rsid w:val="001D222A"/>
    <w:rsid w:val="001D23A6"/>
    <w:rsid w:val="001D23F9"/>
    <w:rsid w:val="001D262C"/>
    <w:rsid w:val="001D289C"/>
    <w:rsid w:val="001D28E8"/>
    <w:rsid w:val="001D2AB2"/>
    <w:rsid w:val="001D2F86"/>
    <w:rsid w:val="001D2F87"/>
    <w:rsid w:val="001D3064"/>
    <w:rsid w:val="001D30EF"/>
    <w:rsid w:val="001D342E"/>
    <w:rsid w:val="001D3469"/>
    <w:rsid w:val="001D349B"/>
    <w:rsid w:val="001D351B"/>
    <w:rsid w:val="001D3B05"/>
    <w:rsid w:val="001D3B38"/>
    <w:rsid w:val="001D3B3D"/>
    <w:rsid w:val="001D3D1F"/>
    <w:rsid w:val="001D42DD"/>
    <w:rsid w:val="001D43FE"/>
    <w:rsid w:val="001D450B"/>
    <w:rsid w:val="001D4524"/>
    <w:rsid w:val="001D461B"/>
    <w:rsid w:val="001D4801"/>
    <w:rsid w:val="001D4B06"/>
    <w:rsid w:val="001D4B3E"/>
    <w:rsid w:val="001D5191"/>
    <w:rsid w:val="001D5257"/>
    <w:rsid w:val="001D53B9"/>
    <w:rsid w:val="001D5403"/>
    <w:rsid w:val="001D55EE"/>
    <w:rsid w:val="001D55F2"/>
    <w:rsid w:val="001D567C"/>
    <w:rsid w:val="001D5834"/>
    <w:rsid w:val="001D5934"/>
    <w:rsid w:val="001D5943"/>
    <w:rsid w:val="001D5C25"/>
    <w:rsid w:val="001D611D"/>
    <w:rsid w:val="001D65DF"/>
    <w:rsid w:val="001D66FD"/>
    <w:rsid w:val="001D675E"/>
    <w:rsid w:val="001D6764"/>
    <w:rsid w:val="001D6B5A"/>
    <w:rsid w:val="001D6E03"/>
    <w:rsid w:val="001D6E6C"/>
    <w:rsid w:val="001D6E73"/>
    <w:rsid w:val="001D6FFC"/>
    <w:rsid w:val="001D7199"/>
    <w:rsid w:val="001D73E9"/>
    <w:rsid w:val="001D73F1"/>
    <w:rsid w:val="001D7758"/>
    <w:rsid w:val="001D778B"/>
    <w:rsid w:val="001D78A1"/>
    <w:rsid w:val="001D790A"/>
    <w:rsid w:val="001D7A6C"/>
    <w:rsid w:val="001E0508"/>
    <w:rsid w:val="001E0563"/>
    <w:rsid w:val="001E06FC"/>
    <w:rsid w:val="001E07B7"/>
    <w:rsid w:val="001E0933"/>
    <w:rsid w:val="001E09EF"/>
    <w:rsid w:val="001E0BA2"/>
    <w:rsid w:val="001E13B3"/>
    <w:rsid w:val="001E16AC"/>
    <w:rsid w:val="001E17B5"/>
    <w:rsid w:val="001E1969"/>
    <w:rsid w:val="001E1B99"/>
    <w:rsid w:val="001E1D96"/>
    <w:rsid w:val="001E1DAC"/>
    <w:rsid w:val="001E218C"/>
    <w:rsid w:val="001E22EF"/>
    <w:rsid w:val="001E2620"/>
    <w:rsid w:val="001E2637"/>
    <w:rsid w:val="001E27DB"/>
    <w:rsid w:val="001E27FB"/>
    <w:rsid w:val="001E29E4"/>
    <w:rsid w:val="001E2B87"/>
    <w:rsid w:val="001E2C0A"/>
    <w:rsid w:val="001E2C0E"/>
    <w:rsid w:val="001E2CFA"/>
    <w:rsid w:val="001E2EF1"/>
    <w:rsid w:val="001E2F21"/>
    <w:rsid w:val="001E3340"/>
    <w:rsid w:val="001E3356"/>
    <w:rsid w:val="001E345A"/>
    <w:rsid w:val="001E34F4"/>
    <w:rsid w:val="001E35EF"/>
    <w:rsid w:val="001E3843"/>
    <w:rsid w:val="001E3999"/>
    <w:rsid w:val="001E39B0"/>
    <w:rsid w:val="001E39FF"/>
    <w:rsid w:val="001E3A2F"/>
    <w:rsid w:val="001E3CC2"/>
    <w:rsid w:val="001E3CD2"/>
    <w:rsid w:val="001E3D75"/>
    <w:rsid w:val="001E3DAC"/>
    <w:rsid w:val="001E3E13"/>
    <w:rsid w:val="001E3E1F"/>
    <w:rsid w:val="001E40D5"/>
    <w:rsid w:val="001E40E2"/>
    <w:rsid w:val="001E4205"/>
    <w:rsid w:val="001E45D1"/>
    <w:rsid w:val="001E46DF"/>
    <w:rsid w:val="001E475D"/>
    <w:rsid w:val="001E47E4"/>
    <w:rsid w:val="001E489A"/>
    <w:rsid w:val="001E493F"/>
    <w:rsid w:val="001E4C80"/>
    <w:rsid w:val="001E4ECB"/>
    <w:rsid w:val="001E521B"/>
    <w:rsid w:val="001E52A1"/>
    <w:rsid w:val="001E5885"/>
    <w:rsid w:val="001E5D68"/>
    <w:rsid w:val="001E62A6"/>
    <w:rsid w:val="001E66E3"/>
    <w:rsid w:val="001E6932"/>
    <w:rsid w:val="001E699F"/>
    <w:rsid w:val="001E6BC1"/>
    <w:rsid w:val="001E6D9A"/>
    <w:rsid w:val="001E6DE8"/>
    <w:rsid w:val="001E6E35"/>
    <w:rsid w:val="001E6FBC"/>
    <w:rsid w:val="001E712F"/>
    <w:rsid w:val="001E713C"/>
    <w:rsid w:val="001E7155"/>
    <w:rsid w:val="001E768E"/>
    <w:rsid w:val="001E79B4"/>
    <w:rsid w:val="001E7A69"/>
    <w:rsid w:val="001E7BC2"/>
    <w:rsid w:val="001E7BE2"/>
    <w:rsid w:val="001E7CB9"/>
    <w:rsid w:val="001E7D0C"/>
    <w:rsid w:val="001E7D26"/>
    <w:rsid w:val="001E7D42"/>
    <w:rsid w:val="001E7EEB"/>
    <w:rsid w:val="001E7F69"/>
    <w:rsid w:val="001F004B"/>
    <w:rsid w:val="001F0139"/>
    <w:rsid w:val="001F0250"/>
    <w:rsid w:val="001F03EB"/>
    <w:rsid w:val="001F0423"/>
    <w:rsid w:val="001F048A"/>
    <w:rsid w:val="001F0884"/>
    <w:rsid w:val="001F0987"/>
    <w:rsid w:val="001F0D04"/>
    <w:rsid w:val="001F0D07"/>
    <w:rsid w:val="001F0E2E"/>
    <w:rsid w:val="001F0F1F"/>
    <w:rsid w:val="001F110C"/>
    <w:rsid w:val="001F12CF"/>
    <w:rsid w:val="001F12E2"/>
    <w:rsid w:val="001F1360"/>
    <w:rsid w:val="001F1449"/>
    <w:rsid w:val="001F145F"/>
    <w:rsid w:val="001F154A"/>
    <w:rsid w:val="001F15DF"/>
    <w:rsid w:val="001F16F0"/>
    <w:rsid w:val="001F184A"/>
    <w:rsid w:val="001F18CD"/>
    <w:rsid w:val="001F1A0F"/>
    <w:rsid w:val="001F1C86"/>
    <w:rsid w:val="001F1DB4"/>
    <w:rsid w:val="001F2161"/>
    <w:rsid w:val="001F26D7"/>
    <w:rsid w:val="001F2709"/>
    <w:rsid w:val="001F27FD"/>
    <w:rsid w:val="001F2AC2"/>
    <w:rsid w:val="001F2BEF"/>
    <w:rsid w:val="001F2E4C"/>
    <w:rsid w:val="001F2F2D"/>
    <w:rsid w:val="001F2FD0"/>
    <w:rsid w:val="001F30D2"/>
    <w:rsid w:val="001F3227"/>
    <w:rsid w:val="001F3269"/>
    <w:rsid w:val="001F3506"/>
    <w:rsid w:val="001F354F"/>
    <w:rsid w:val="001F3660"/>
    <w:rsid w:val="001F3787"/>
    <w:rsid w:val="001F39CF"/>
    <w:rsid w:val="001F3C19"/>
    <w:rsid w:val="001F4408"/>
    <w:rsid w:val="001F4649"/>
    <w:rsid w:val="001F4657"/>
    <w:rsid w:val="001F47BB"/>
    <w:rsid w:val="001F485B"/>
    <w:rsid w:val="001F4ABB"/>
    <w:rsid w:val="001F4DA5"/>
    <w:rsid w:val="001F4DD5"/>
    <w:rsid w:val="001F4F02"/>
    <w:rsid w:val="001F4F34"/>
    <w:rsid w:val="001F50ED"/>
    <w:rsid w:val="001F5156"/>
    <w:rsid w:val="001F541F"/>
    <w:rsid w:val="001F5689"/>
    <w:rsid w:val="001F5724"/>
    <w:rsid w:val="001F5880"/>
    <w:rsid w:val="001F5A04"/>
    <w:rsid w:val="001F5A42"/>
    <w:rsid w:val="001F5A8D"/>
    <w:rsid w:val="001F5BE3"/>
    <w:rsid w:val="001F5D56"/>
    <w:rsid w:val="001F5E9E"/>
    <w:rsid w:val="001F5ED1"/>
    <w:rsid w:val="001F60A8"/>
    <w:rsid w:val="001F6131"/>
    <w:rsid w:val="001F62CC"/>
    <w:rsid w:val="001F6475"/>
    <w:rsid w:val="001F675E"/>
    <w:rsid w:val="001F6937"/>
    <w:rsid w:val="001F6997"/>
    <w:rsid w:val="001F6A35"/>
    <w:rsid w:val="001F6AA0"/>
    <w:rsid w:val="001F6AB0"/>
    <w:rsid w:val="001F6F18"/>
    <w:rsid w:val="001F70D3"/>
    <w:rsid w:val="001F72D9"/>
    <w:rsid w:val="001F7353"/>
    <w:rsid w:val="001F7391"/>
    <w:rsid w:val="001F7393"/>
    <w:rsid w:val="001F7895"/>
    <w:rsid w:val="001F79CA"/>
    <w:rsid w:val="001F7F8D"/>
    <w:rsid w:val="001F7FA8"/>
    <w:rsid w:val="00200053"/>
    <w:rsid w:val="002000E5"/>
    <w:rsid w:val="002001F9"/>
    <w:rsid w:val="00200375"/>
    <w:rsid w:val="00200388"/>
    <w:rsid w:val="002005B1"/>
    <w:rsid w:val="0020074B"/>
    <w:rsid w:val="00200868"/>
    <w:rsid w:val="00200895"/>
    <w:rsid w:val="0020097A"/>
    <w:rsid w:val="002013C5"/>
    <w:rsid w:val="0020149A"/>
    <w:rsid w:val="002014BB"/>
    <w:rsid w:val="00201610"/>
    <w:rsid w:val="0020193B"/>
    <w:rsid w:val="00201BEA"/>
    <w:rsid w:val="00201C27"/>
    <w:rsid w:val="00201CD2"/>
    <w:rsid w:val="00202081"/>
    <w:rsid w:val="0020211E"/>
    <w:rsid w:val="0020219E"/>
    <w:rsid w:val="0020234E"/>
    <w:rsid w:val="00202418"/>
    <w:rsid w:val="002024BA"/>
    <w:rsid w:val="002024FA"/>
    <w:rsid w:val="00202B7F"/>
    <w:rsid w:val="00202BCB"/>
    <w:rsid w:val="00202D21"/>
    <w:rsid w:val="00202DE6"/>
    <w:rsid w:val="00202DF0"/>
    <w:rsid w:val="00202F9D"/>
    <w:rsid w:val="002030C3"/>
    <w:rsid w:val="00203115"/>
    <w:rsid w:val="00203186"/>
    <w:rsid w:val="002032CB"/>
    <w:rsid w:val="002033A0"/>
    <w:rsid w:val="002033DC"/>
    <w:rsid w:val="00203478"/>
    <w:rsid w:val="00203707"/>
    <w:rsid w:val="0020376E"/>
    <w:rsid w:val="00203B0F"/>
    <w:rsid w:val="00203F58"/>
    <w:rsid w:val="002040A0"/>
    <w:rsid w:val="0020410E"/>
    <w:rsid w:val="002044AF"/>
    <w:rsid w:val="00204559"/>
    <w:rsid w:val="0020482E"/>
    <w:rsid w:val="00204AA0"/>
    <w:rsid w:val="00204DF4"/>
    <w:rsid w:val="00204E7E"/>
    <w:rsid w:val="00204EB9"/>
    <w:rsid w:val="0020508E"/>
    <w:rsid w:val="00205A75"/>
    <w:rsid w:val="00205B23"/>
    <w:rsid w:val="00205B65"/>
    <w:rsid w:val="00205C41"/>
    <w:rsid w:val="00205CA8"/>
    <w:rsid w:val="00205F47"/>
    <w:rsid w:val="0020608E"/>
    <w:rsid w:val="00206110"/>
    <w:rsid w:val="002061FB"/>
    <w:rsid w:val="0020649A"/>
    <w:rsid w:val="00206525"/>
    <w:rsid w:val="00206545"/>
    <w:rsid w:val="00206AA6"/>
    <w:rsid w:val="00206AE3"/>
    <w:rsid w:val="00206DD9"/>
    <w:rsid w:val="0020709F"/>
    <w:rsid w:val="002071E0"/>
    <w:rsid w:val="00207255"/>
    <w:rsid w:val="00207465"/>
    <w:rsid w:val="002074CE"/>
    <w:rsid w:val="00207C89"/>
    <w:rsid w:val="00207CE9"/>
    <w:rsid w:val="00207D34"/>
    <w:rsid w:val="00207DE1"/>
    <w:rsid w:val="00207F1B"/>
    <w:rsid w:val="00207FD0"/>
    <w:rsid w:val="002100A9"/>
    <w:rsid w:val="0021025B"/>
    <w:rsid w:val="0021040D"/>
    <w:rsid w:val="00210667"/>
    <w:rsid w:val="0021076A"/>
    <w:rsid w:val="002107A6"/>
    <w:rsid w:val="0021088B"/>
    <w:rsid w:val="0021092F"/>
    <w:rsid w:val="00210A2A"/>
    <w:rsid w:val="00210AD8"/>
    <w:rsid w:val="00210B4A"/>
    <w:rsid w:val="00210FE3"/>
    <w:rsid w:val="00211046"/>
    <w:rsid w:val="0021116B"/>
    <w:rsid w:val="00211415"/>
    <w:rsid w:val="0021156D"/>
    <w:rsid w:val="002116E7"/>
    <w:rsid w:val="002116EB"/>
    <w:rsid w:val="00211978"/>
    <w:rsid w:val="002119D1"/>
    <w:rsid w:val="002119E6"/>
    <w:rsid w:val="00211AB6"/>
    <w:rsid w:val="00211BF7"/>
    <w:rsid w:val="00211C27"/>
    <w:rsid w:val="00211C6A"/>
    <w:rsid w:val="002121FB"/>
    <w:rsid w:val="0021220E"/>
    <w:rsid w:val="002122A0"/>
    <w:rsid w:val="002122BE"/>
    <w:rsid w:val="002122E6"/>
    <w:rsid w:val="00212443"/>
    <w:rsid w:val="00212718"/>
    <w:rsid w:val="002128AD"/>
    <w:rsid w:val="00212C05"/>
    <w:rsid w:val="00212CE3"/>
    <w:rsid w:val="00212CEA"/>
    <w:rsid w:val="00212EA1"/>
    <w:rsid w:val="00212EFE"/>
    <w:rsid w:val="00212FBC"/>
    <w:rsid w:val="0021306E"/>
    <w:rsid w:val="002130E6"/>
    <w:rsid w:val="0021333E"/>
    <w:rsid w:val="00213886"/>
    <w:rsid w:val="00213994"/>
    <w:rsid w:val="00213AAD"/>
    <w:rsid w:val="00213AD3"/>
    <w:rsid w:val="00213BD7"/>
    <w:rsid w:val="00213E7A"/>
    <w:rsid w:val="00213F3A"/>
    <w:rsid w:val="00213F55"/>
    <w:rsid w:val="002140EE"/>
    <w:rsid w:val="00214403"/>
    <w:rsid w:val="00214479"/>
    <w:rsid w:val="00214512"/>
    <w:rsid w:val="002145F6"/>
    <w:rsid w:val="00214795"/>
    <w:rsid w:val="002147E3"/>
    <w:rsid w:val="002149C0"/>
    <w:rsid w:val="00214B1E"/>
    <w:rsid w:val="00214C7E"/>
    <w:rsid w:val="00214D43"/>
    <w:rsid w:val="00214EB3"/>
    <w:rsid w:val="00215023"/>
    <w:rsid w:val="002151D8"/>
    <w:rsid w:val="002154C5"/>
    <w:rsid w:val="00215513"/>
    <w:rsid w:val="00215707"/>
    <w:rsid w:val="002157A6"/>
    <w:rsid w:val="002157BC"/>
    <w:rsid w:val="00215947"/>
    <w:rsid w:val="00215B4C"/>
    <w:rsid w:val="00215C7B"/>
    <w:rsid w:val="0021606B"/>
    <w:rsid w:val="00216126"/>
    <w:rsid w:val="002161A7"/>
    <w:rsid w:val="00216235"/>
    <w:rsid w:val="0021644C"/>
    <w:rsid w:val="00216917"/>
    <w:rsid w:val="00216B37"/>
    <w:rsid w:val="00216B69"/>
    <w:rsid w:val="00216C44"/>
    <w:rsid w:val="00216F49"/>
    <w:rsid w:val="00217282"/>
    <w:rsid w:val="00217373"/>
    <w:rsid w:val="0021767F"/>
    <w:rsid w:val="00217BA2"/>
    <w:rsid w:val="00217BBA"/>
    <w:rsid w:val="00217D0F"/>
    <w:rsid w:val="00217DC2"/>
    <w:rsid w:val="00217FE6"/>
    <w:rsid w:val="002200FD"/>
    <w:rsid w:val="00220165"/>
    <w:rsid w:val="002203F4"/>
    <w:rsid w:val="00220422"/>
    <w:rsid w:val="00220641"/>
    <w:rsid w:val="00220A60"/>
    <w:rsid w:val="00220BE8"/>
    <w:rsid w:val="00220E1E"/>
    <w:rsid w:val="00220F6A"/>
    <w:rsid w:val="002212CE"/>
    <w:rsid w:val="0022141C"/>
    <w:rsid w:val="0022177D"/>
    <w:rsid w:val="002217BD"/>
    <w:rsid w:val="0022188C"/>
    <w:rsid w:val="00221B7A"/>
    <w:rsid w:val="00221C8C"/>
    <w:rsid w:val="00221D14"/>
    <w:rsid w:val="00221F46"/>
    <w:rsid w:val="00221FFE"/>
    <w:rsid w:val="002222C9"/>
    <w:rsid w:val="002222FC"/>
    <w:rsid w:val="00222352"/>
    <w:rsid w:val="002225A2"/>
    <w:rsid w:val="00222767"/>
    <w:rsid w:val="0022278B"/>
    <w:rsid w:val="002228B6"/>
    <w:rsid w:val="00222A67"/>
    <w:rsid w:val="00222C82"/>
    <w:rsid w:val="002230D2"/>
    <w:rsid w:val="00223189"/>
    <w:rsid w:val="0022350E"/>
    <w:rsid w:val="00223978"/>
    <w:rsid w:val="002240D9"/>
    <w:rsid w:val="00224398"/>
    <w:rsid w:val="00224399"/>
    <w:rsid w:val="00224426"/>
    <w:rsid w:val="0022443F"/>
    <w:rsid w:val="00224475"/>
    <w:rsid w:val="002245D2"/>
    <w:rsid w:val="00224791"/>
    <w:rsid w:val="00224847"/>
    <w:rsid w:val="00224BA3"/>
    <w:rsid w:val="00224BE6"/>
    <w:rsid w:val="00224CF3"/>
    <w:rsid w:val="002252FF"/>
    <w:rsid w:val="0022547B"/>
    <w:rsid w:val="0022561C"/>
    <w:rsid w:val="002256EA"/>
    <w:rsid w:val="00225954"/>
    <w:rsid w:val="00225C3F"/>
    <w:rsid w:val="00225CFC"/>
    <w:rsid w:val="00225ED9"/>
    <w:rsid w:val="00225EFA"/>
    <w:rsid w:val="0022608A"/>
    <w:rsid w:val="002260AE"/>
    <w:rsid w:val="00226345"/>
    <w:rsid w:val="00226A23"/>
    <w:rsid w:val="00226A7C"/>
    <w:rsid w:val="00226BA8"/>
    <w:rsid w:val="00226BBA"/>
    <w:rsid w:val="00226F03"/>
    <w:rsid w:val="00227071"/>
    <w:rsid w:val="0022776D"/>
    <w:rsid w:val="002277A2"/>
    <w:rsid w:val="00227862"/>
    <w:rsid w:val="002279EB"/>
    <w:rsid w:val="00227F02"/>
    <w:rsid w:val="002305D5"/>
    <w:rsid w:val="00230664"/>
    <w:rsid w:val="002306EB"/>
    <w:rsid w:val="002307CC"/>
    <w:rsid w:val="00230826"/>
    <w:rsid w:val="002308E6"/>
    <w:rsid w:val="00230AD8"/>
    <w:rsid w:val="00230ADA"/>
    <w:rsid w:val="00230E52"/>
    <w:rsid w:val="00231217"/>
    <w:rsid w:val="00231406"/>
    <w:rsid w:val="002314E4"/>
    <w:rsid w:val="002314E8"/>
    <w:rsid w:val="002315AA"/>
    <w:rsid w:val="002317AC"/>
    <w:rsid w:val="002318FF"/>
    <w:rsid w:val="00231991"/>
    <w:rsid w:val="00231AC0"/>
    <w:rsid w:val="00231AF7"/>
    <w:rsid w:val="00231B3A"/>
    <w:rsid w:val="00231E60"/>
    <w:rsid w:val="00231F6D"/>
    <w:rsid w:val="00231F9F"/>
    <w:rsid w:val="002324A3"/>
    <w:rsid w:val="002325C4"/>
    <w:rsid w:val="00232CFE"/>
    <w:rsid w:val="002332A0"/>
    <w:rsid w:val="002332FF"/>
    <w:rsid w:val="002333DC"/>
    <w:rsid w:val="00233419"/>
    <w:rsid w:val="0023341B"/>
    <w:rsid w:val="00233684"/>
    <w:rsid w:val="0023368E"/>
    <w:rsid w:val="00233944"/>
    <w:rsid w:val="00233C27"/>
    <w:rsid w:val="00233D31"/>
    <w:rsid w:val="00233F92"/>
    <w:rsid w:val="0023418F"/>
    <w:rsid w:val="002341E0"/>
    <w:rsid w:val="002343BC"/>
    <w:rsid w:val="002343E4"/>
    <w:rsid w:val="0023486E"/>
    <w:rsid w:val="00234B76"/>
    <w:rsid w:val="00234F0C"/>
    <w:rsid w:val="00234FDF"/>
    <w:rsid w:val="00235043"/>
    <w:rsid w:val="00235708"/>
    <w:rsid w:val="00235850"/>
    <w:rsid w:val="00235933"/>
    <w:rsid w:val="0023593C"/>
    <w:rsid w:val="00235955"/>
    <w:rsid w:val="00235A7E"/>
    <w:rsid w:val="00235CE1"/>
    <w:rsid w:val="00235ED7"/>
    <w:rsid w:val="00235FD4"/>
    <w:rsid w:val="00236095"/>
    <w:rsid w:val="00236201"/>
    <w:rsid w:val="00236461"/>
    <w:rsid w:val="0023652A"/>
    <w:rsid w:val="002366A6"/>
    <w:rsid w:val="00236801"/>
    <w:rsid w:val="00236881"/>
    <w:rsid w:val="002368B4"/>
    <w:rsid w:val="00236988"/>
    <w:rsid w:val="00236BE5"/>
    <w:rsid w:val="00236D42"/>
    <w:rsid w:val="00236F61"/>
    <w:rsid w:val="00237875"/>
    <w:rsid w:val="002378B6"/>
    <w:rsid w:val="00237A4C"/>
    <w:rsid w:val="00237B52"/>
    <w:rsid w:val="00237CFC"/>
    <w:rsid w:val="00237DB5"/>
    <w:rsid w:val="00237EA1"/>
    <w:rsid w:val="00237EFA"/>
    <w:rsid w:val="00240154"/>
    <w:rsid w:val="002402FE"/>
    <w:rsid w:val="00240720"/>
    <w:rsid w:val="00240932"/>
    <w:rsid w:val="00240BD2"/>
    <w:rsid w:val="00240DC7"/>
    <w:rsid w:val="00240EA4"/>
    <w:rsid w:val="00240EC0"/>
    <w:rsid w:val="0024108D"/>
    <w:rsid w:val="002410B8"/>
    <w:rsid w:val="002413CD"/>
    <w:rsid w:val="002416D5"/>
    <w:rsid w:val="002417ED"/>
    <w:rsid w:val="0024193F"/>
    <w:rsid w:val="00241AA7"/>
    <w:rsid w:val="00241B94"/>
    <w:rsid w:val="00241BCF"/>
    <w:rsid w:val="00241C32"/>
    <w:rsid w:val="00241D55"/>
    <w:rsid w:val="00241D83"/>
    <w:rsid w:val="00241ED4"/>
    <w:rsid w:val="00241F8E"/>
    <w:rsid w:val="002421BF"/>
    <w:rsid w:val="002423AD"/>
    <w:rsid w:val="002423D6"/>
    <w:rsid w:val="002426C2"/>
    <w:rsid w:val="002427E1"/>
    <w:rsid w:val="0024289C"/>
    <w:rsid w:val="00242C0B"/>
    <w:rsid w:val="00242C39"/>
    <w:rsid w:val="00242F04"/>
    <w:rsid w:val="0024360F"/>
    <w:rsid w:val="002436F5"/>
    <w:rsid w:val="0024383C"/>
    <w:rsid w:val="00243A5E"/>
    <w:rsid w:val="00243AC9"/>
    <w:rsid w:val="00243E48"/>
    <w:rsid w:val="00243F62"/>
    <w:rsid w:val="002440E5"/>
    <w:rsid w:val="00244418"/>
    <w:rsid w:val="00244498"/>
    <w:rsid w:val="002449A4"/>
    <w:rsid w:val="00244B32"/>
    <w:rsid w:val="00244EF3"/>
    <w:rsid w:val="00244F2C"/>
    <w:rsid w:val="002451DF"/>
    <w:rsid w:val="0024520B"/>
    <w:rsid w:val="002452D4"/>
    <w:rsid w:val="00245382"/>
    <w:rsid w:val="002454BF"/>
    <w:rsid w:val="00245506"/>
    <w:rsid w:val="0024558E"/>
    <w:rsid w:val="002457D1"/>
    <w:rsid w:val="00245B10"/>
    <w:rsid w:val="00245FE4"/>
    <w:rsid w:val="00246493"/>
    <w:rsid w:val="002467EE"/>
    <w:rsid w:val="00246B0C"/>
    <w:rsid w:val="00246B69"/>
    <w:rsid w:val="00246D71"/>
    <w:rsid w:val="00246DAE"/>
    <w:rsid w:val="00246DDD"/>
    <w:rsid w:val="00246F58"/>
    <w:rsid w:val="00246F63"/>
    <w:rsid w:val="00247097"/>
    <w:rsid w:val="00247167"/>
    <w:rsid w:val="0024755F"/>
    <w:rsid w:val="002475EE"/>
    <w:rsid w:val="0024790D"/>
    <w:rsid w:val="00247A14"/>
    <w:rsid w:val="00247A5D"/>
    <w:rsid w:val="00247DBF"/>
    <w:rsid w:val="00250148"/>
    <w:rsid w:val="00250524"/>
    <w:rsid w:val="002506C0"/>
    <w:rsid w:val="002507DA"/>
    <w:rsid w:val="00250A57"/>
    <w:rsid w:val="00250A76"/>
    <w:rsid w:val="00250A98"/>
    <w:rsid w:val="00250AD0"/>
    <w:rsid w:val="00250C08"/>
    <w:rsid w:val="00250C56"/>
    <w:rsid w:val="00250C58"/>
    <w:rsid w:val="00250DC2"/>
    <w:rsid w:val="00250FF1"/>
    <w:rsid w:val="002510C9"/>
    <w:rsid w:val="0025120C"/>
    <w:rsid w:val="002514A3"/>
    <w:rsid w:val="00251595"/>
    <w:rsid w:val="002515A8"/>
    <w:rsid w:val="0025163A"/>
    <w:rsid w:val="0025172C"/>
    <w:rsid w:val="00251962"/>
    <w:rsid w:val="00251A3B"/>
    <w:rsid w:val="00251CCF"/>
    <w:rsid w:val="00251CFD"/>
    <w:rsid w:val="00251F1F"/>
    <w:rsid w:val="0025215D"/>
    <w:rsid w:val="002523A6"/>
    <w:rsid w:val="002524B9"/>
    <w:rsid w:val="002524CD"/>
    <w:rsid w:val="002525A8"/>
    <w:rsid w:val="002526EB"/>
    <w:rsid w:val="0025277A"/>
    <w:rsid w:val="002527EB"/>
    <w:rsid w:val="0025291F"/>
    <w:rsid w:val="002529FE"/>
    <w:rsid w:val="00252A03"/>
    <w:rsid w:val="00252A0F"/>
    <w:rsid w:val="00252C43"/>
    <w:rsid w:val="00252E6C"/>
    <w:rsid w:val="00252F34"/>
    <w:rsid w:val="00252FFC"/>
    <w:rsid w:val="002534AF"/>
    <w:rsid w:val="00253581"/>
    <w:rsid w:val="00253696"/>
    <w:rsid w:val="002536C9"/>
    <w:rsid w:val="00253765"/>
    <w:rsid w:val="002538E2"/>
    <w:rsid w:val="00253986"/>
    <w:rsid w:val="002539CF"/>
    <w:rsid w:val="00253C56"/>
    <w:rsid w:val="00253E75"/>
    <w:rsid w:val="00254373"/>
    <w:rsid w:val="00254721"/>
    <w:rsid w:val="00254903"/>
    <w:rsid w:val="00254A7D"/>
    <w:rsid w:val="00254B3A"/>
    <w:rsid w:val="00254C6E"/>
    <w:rsid w:val="00254C7D"/>
    <w:rsid w:val="00254CC8"/>
    <w:rsid w:val="00254EF3"/>
    <w:rsid w:val="002550AD"/>
    <w:rsid w:val="00255330"/>
    <w:rsid w:val="00255356"/>
    <w:rsid w:val="00255505"/>
    <w:rsid w:val="00255745"/>
    <w:rsid w:val="002559CE"/>
    <w:rsid w:val="00256164"/>
    <w:rsid w:val="002561C9"/>
    <w:rsid w:val="002562EB"/>
    <w:rsid w:val="002563FC"/>
    <w:rsid w:val="00256506"/>
    <w:rsid w:val="002566DA"/>
    <w:rsid w:val="00256796"/>
    <w:rsid w:val="00256886"/>
    <w:rsid w:val="002568B5"/>
    <w:rsid w:val="00256AEA"/>
    <w:rsid w:val="00256B91"/>
    <w:rsid w:val="00256D43"/>
    <w:rsid w:val="00256EC1"/>
    <w:rsid w:val="00256F2E"/>
    <w:rsid w:val="00257161"/>
    <w:rsid w:val="0025731E"/>
    <w:rsid w:val="00257341"/>
    <w:rsid w:val="002575C1"/>
    <w:rsid w:val="002576C4"/>
    <w:rsid w:val="0025786C"/>
    <w:rsid w:val="00257DE7"/>
    <w:rsid w:val="00257DF5"/>
    <w:rsid w:val="00257EC7"/>
    <w:rsid w:val="00257F6C"/>
    <w:rsid w:val="002602B6"/>
    <w:rsid w:val="002604A7"/>
    <w:rsid w:val="002604BF"/>
    <w:rsid w:val="002608EC"/>
    <w:rsid w:val="00260A08"/>
    <w:rsid w:val="00260AC0"/>
    <w:rsid w:val="00260ACB"/>
    <w:rsid w:val="00260ADF"/>
    <w:rsid w:val="00260C35"/>
    <w:rsid w:val="00260D08"/>
    <w:rsid w:val="00260DD4"/>
    <w:rsid w:val="002611BE"/>
    <w:rsid w:val="0026138D"/>
    <w:rsid w:val="00261582"/>
    <w:rsid w:val="0026164D"/>
    <w:rsid w:val="002616C0"/>
    <w:rsid w:val="002616D2"/>
    <w:rsid w:val="00261719"/>
    <w:rsid w:val="0026177F"/>
    <w:rsid w:val="002617E4"/>
    <w:rsid w:val="00261851"/>
    <w:rsid w:val="00261D10"/>
    <w:rsid w:val="00261E50"/>
    <w:rsid w:val="00262155"/>
    <w:rsid w:val="00262226"/>
    <w:rsid w:val="00262274"/>
    <w:rsid w:val="002622CC"/>
    <w:rsid w:val="00262326"/>
    <w:rsid w:val="00262395"/>
    <w:rsid w:val="002623EB"/>
    <w:rsid w:val="0026247C"/>
    <w:rsid w:val="002624E1"/>
    <w:rsid w:val="002624ED"/>
    <w:rsid w:val="00262AA5"/>
    <w:rsid w:val="00262D49"/>
    <w:rsid w:val="00262FB7"/>
    <w:rsid w:val="002630DB"/>
    <w:rsid w:val="0026310D"/>
    <w:rsid w:val="00263190"/>
    <w:rsid w:val="00263403"/>
    <w:rsid w:val="00263478"/>
    <w:rsid w:val="00263716"/>
    <w:rsid w:val="00263724"/>
    <w:rsid w:val="00263840"/>
    <w:rsid w:val="00263D60"/>
    <w:rsid w:val="00263EFA"/>
    <w:rsid w:val="00263F0F"/>
    <w:rsid w:val="002641E7"/>
    <w:rsid w:val="00264282"/>
    <w:rsid w:val="002643F9"/>
    <w:rsid w:val="0026463D"/>
    <w:rsid w:val="002646E6"/>
    <w:rsid w:val="0026482B"/>
    <w:rsid w:val="002648E1"/>
    <w:rsid w:val="00264B4D"/>
    <w:rsid w:val="00264E49"/>
    <w:rsid w:val="00264E77"/>
    <w:rsid w:val="00264F08"/>
    <w:rsid w:val="00265000"/>
    <w:rsid w:val="0026504D"/>
    <w:rsid w:val="00265227"/>
    <w:rsid w:val="002653B2"/>
    <w:rsid w:val="00265680"/>
    <w:rsid w:val="002656C9"/>
    <w:rsid w:val="002656F7"/>
    <w:rsid w:val="0026580E"/>
    <w:rsid w:val="00265B36"/>
    <w:rsid w:val="00265BF7"/>
    <w:rsid w:val="00266122"/>
    <w:rsid w:val="002661FA"/>
    <w:rsid w:val="0026667F"/>
    <w:rsid w:val="002668AD"/>
    <w:rsid w:val="002669F1"/>
    <w:rsid w:val="00266A98"/>
    <w:rsid w:val="00266C6C"/>
    <w:rsid w:val="00266CB1"/>
    <w:rsid w:val="00266D00"/>
    <w:rsid w:val="00266D30"/>
    <w:rsid w:val="00266E6A"/>
    <w:rsid w:val="00266F50"/>
    <w:rsid w:val="00266F85"/>
    <w:rsid w:val="00266FA6"/>
    <w:rsid w:val="002671D1"/>
    <w:rsid w:val="002671DB"/>
    <w:rsid w:val="002672A6"/>
    <w:rsid w:val="0026732B"/>
    <w:rsid w:val="002675B9"/>
    <w:rsid w:val="0026760D"/>
    <w:rsid w:val="0026765F"/>
    <w:rsid w:val="00267760"/>
    <w:rsid w:val="00267972"/>
    <w:rsid w:val="00267B39"/>
    <w:rsid w:val="00267B3A"/>
    <w:rsid w:val="00267B86"/>
    <w:rsid w:val="00267D52"/>
    <w:rsid w:val="00267FE3"/>
    <w:rsid w:val="0027005B"/>
    <w:rsid w:val="0027030A"/>
    <w:rsid w:val="00270474"/>
    <w:rsid w:val="00270519"/>
    <w:rsid w:val="00270661"/>
    <w:rsid w:val="00270A90"/>
    <w:rsid w:val="00270D95"/>
    <w:rsid w:val="00270F2F"/>
    <w:rsid w:val="00271296"/>
    <w:rsid w:val="00271556"/>
    <w:rsid w:val="002715B0"/>
    <w:rsid w:val="002715DA"/>
    <w:rsid w:val="00271B30"/>
    <w:rsid w:val="00271B73"/>
    <w:rsid w:val="00271DDB"/>
    <w:rsid w:val="00272000"/>
    <w:rsid w:val="0027206B"/>
    <w:rsid w:val="002720B7"/>
    <w:rsid w:val="002722B2"/>
    <w:rsid w:val="00272402"/>
    <w:rsid w:val="00272434"/>
    <w:rsid w:val="002725CA"/>
    <w:rsid w:val="00272603"/>
    <w:rsid w:val="002728AE"/>
    <w:rsid w:val="00272930"/>
    <w:rsid w:val="002729B9"/>
    <w:rsid w:val="00272AE2"/>
    <w:rsid w:val="00272C0A"/>
    <w:rsid w:val="00272C45"/>
    <w:rsid w:val="00272DA3"/>
    <w:rsid w:val="00273172"/>
    <w:rsid w:val="00273273"/>
    <w:rsid w:val="002732EB"/>
    <w:rsid w:val="0027336A"/>
    <w:rsid w:val="002733B0"/>
    <w:rsid w:val="00273488"/>
    <w:rsid w:val="002734FB"/>
    <w:rsid w:val="002739C9"/>
    <w:rsid w:val="002739E0"/>
    <w:rsid w:val="00273A15"/>
    <w:rsid w:val="00273ACE"/>
    <w:rsid w:val="00273B6A"/>
    <w:rsid w:val="00273BC2"/>
    <w:rsid w:val="00273E67"/>
    <w:rsid w:val="002740D0"/>
    <w:rsid w:val="002742D0"/>
    <w:rsid w:val="0027442C"/>
    <w:rsid w:val="002745A5"/>
    <w:rsid w:val="00274610"/>
    <w:rsid w:val="00274949"/>
    <w:rsid w:val="00274D00"/>
    <w:rsid w:val="00274D9E"/>
    <w:rsid w:val="00274E2B"/>
    <w:rsid w:val="00274E78"/>
    <w:rsid w:val="002752D8"/>
    <w:rsid w:val="00275339"/>
    <w:rsid w:val="002754F5"/>
    <w:rsid w:val="002758D8"/>
    <w:rsid w:val="00275B1B"/>
    <w:rsid w:val="00275CE0"/>
    <w:rsid w:val="002762EE"/>
    <w:rsid w:val="00276390"/>
    <w:rsid w:val="002763A5"/>
    <w:rsid w:val="00276452"/>
    <w:rsid w:val="002769F5"/>
    <w:rsid w:val="00276A80"/>
    <w:rsid w:val="00276C15"/>
    <w:rsid w:val="00276FB6"/>
    <w:rsid w:val="00277127"/>
    <w:rsid w:val="0027751C"/>
    <w:rsid w:val="00277710"/>
    <w:rsid w:val="00277776"/>
    <w:rsid w:val="00277C2A"/>
    <w:rsid w:val="00277CE9"/>
    <w:rsid w:val="00277D13"/>
    <w:rsid w:val="00277D2A"/>
    <w:rsid w:val="00277D51"/>
    <w:rsid w:val="00277FF3"/>
    <w:rsid w:val="00280081"/>
    <w:rsid w:val="00280472"/>
    <w:rsid w:val="00280538"/>
    <w:rsid w:val="00280689"/>
    <w:rsid w:val="002806B2"/>
    <w:rsid w:val="0028070E"/>
    <w:rsid w:val="0028089A"/>
    <w:rsid w:val="002808C5"/>
    <w:rsid w:val="002809E1"/>
    <w:rsid w:val="00280A87"/>
    <w:rsid w:val="00280CAF"/>
    <w:rsid w:val="00280DF1"/>
    <w:rsid w:val="00280F9F"/>
    <w:rsid w:val="00280FC7"/>
    <w:rsid w:val="002810DC"/>
    <w:rsid w:val="002812DD"/>
    <w:rsid w:val="00281361"/>
    <w:rsid w:val="00281395"/>
    <w:rsid w:val="002813B5"/>
    <w:rsid w:val="00281491"/>
    <w:rsid w:val="002816FA"/>
    <w:rsid w:val="00281E5B"/>
    <w:rsid w:val="00281EE6"/>
    <w:rsid w:val="00282198"/>
    <w:rsid w:val="002826E5"/>
    <w:rsid w:val="002827C4"/>
    <w:rsid w:val="0028287C"/>
    <w:rsid w:val="002828AD"/>
    <w:rsid w:val="002828C5"/>
    <w:rsid w:val="00282AC3"/>
    <w:rsid w:val="00282CFC"/>
    <w:rsid w:val="00282D35"/>
    <w:rsid w:val="00282E77"/>
    <w:rsid w:val="00282EBC"/>
    <w:rsid w:val="00282F85"/>
    <w:rsid w:val="002830B5"/>
    <w:rsid w:val="00283152"/>
    <w:rsid w:val="0028322E"/>
    <w:rsid w:val="00283349"/>
    <w:rsid w:val="0028342A"/>
    <w:rsid w:val="00283531"/>
    <w:rsid w:val="002835F2"/>
    <w:rsid w:val="00283858"/>
    <w:rsid w:val="002839A5"/>
    <w:rsid w:val="00283A4F"/>
    <w:rsid w:val="00283B51"/>
    <w:rsid w:val="00283C83"/>
    <w:rsid w:val="002842C5"/>
    <w:rsid w:val="00284757"/>
    <w:rsid w:val="002847E6"/>
    <w:rsid w:val="002848DE"/>
    <w:rsid w:val="00284B55"/>
    <w:rsid w:val="00284C07"/>
    <w:rsid w:val="00284EB4"/>
    <w:rsid w:val="00284EE1"/>
    <w:rsid w:val="00284F47"/>
    <w:rsid w:val="002850F5"/>
    <w:rsid w:val="0028510F"/>
    <w:rsid w:val="0028529B"/>
    <w:rsid w:val="0028545C"/>
    <w:rsid w:val="002854DD"/>
    <w:rsid w:val="0028569D"/>
    <w:rsid w:val="00285781"/>
    <w:rsid w:val="002859C1"/>
    <w:rsid w:val="00285D12"/>
    <w:rsid w:val="00285D4D"/>
    <w:rsid w:val="00285E08"/>
    <w:rsid w:val="00285E4A"/>
    <w:rsid w:val="00285FF7"/>
    <w:rsid w:val="0028606B"/>
    <w:rsid w:val="00286133"/>
    <w:rsid w:val="0028615F"/>
    <w:rsid w:val="0028618B"/>
    <w:rsid w:val="0028620E"/>
    <w:rsid w:val="00286292"/>
    <w:rsid w:val="002862C1"/>
    <w:rsid w:val="0028667D"/>
    <w:rsid w:val="00286911"/>
    <w:rsid w:val="00286C55"/>
    <w:rsid w:val="00286D0F"/>
    <w:rsid w:val="00286E9D"/>
    <w:rsid w:val="00286EBF"/>
    <w:rsid w:val="00287022"/>
    <w:rsid w:val="00287474"/>
    <w:rsid w:val="00287477"/>
    <w:rsid w:val="00287667"/>
    <w:rsid w:val="002876C7"/>
    <w:rsid w:val="0028786F"/>
    <w:rsid w:val="00287A59"/>
    <w:rsid w:val="00287AFD"/>
    <w:rsid w:val="00287B46"/>
    <w:rsid w:val="00287CC5"/>
    <w:rsid w:val="00287DD2"/>
    <w:rsid w:val="00287F73"/>
    <w:rsid w:val="00287F84"/>
    <w:rsid w:val="002901B8"/>
    <w:rsid w:val="002905E8"/>
    <w:rsid w:val="00290641"/>
    <w:rsid w:val="00290712"/>
    <w:rsid w:val="0029071A"/>
    <w:rsid w:val="002907FA"/>
    <w:rsid w:val="0029080E"/>
    <w:rsid w:val="0029099C"/>
    <w:rsid w:val="00290A8A"/>
    <w:rsid w:val="00290ADE"/>
    <w:rsid w:val="00290D40"/>
    <w:rsid w:val="00290D88"/>
    <w:rsid w:val="00291028"/>
    <w:rsid w:val="002910FC"/>
    <w:rsid w:val="002911A2"/>
    <w:rsid w:val="002912CD"/>
    <w:rsid w:val="0029174F"/>
    <w:rsid w:val="002918C8"/>
    <w:rsid w:val="00291980"/>
    <w:rsid w:val="00291C64"/>
    <w:rsid w:val="00291C9E"/>
    <w:rsid w:val="00291D8F"/>
    <w:rsid w:val="00291DC5"/>
    <w:rsid w:val="00291E16"/>
    <w:rsid w:val="00292184"/>
    <w:rsid w:val="002921C4"/>
    <w:rsid w:val="00292270"/>
    <w:rsid w:val="0029242A"/>
    <w:rsid w:val="0029242C"/>
    <w:rsid w:val="002926CE"/>
    <w:rsid w:val="00292772"/>
    <w:rsid w:val="002929B9"/>
    <w:rsid w:val="00292B1E"/>
    <w:rsid w:val="00292B5C"/>
    <w:rsid w:val="00292EC0"/>
    <w:rsid w:val="00292EDA"/>
    <w:rsid w:val="00292FA0"/>
    <w:rsid w:val="00293164"/>
    <w:rsid w:val="002935F9"/>
    <w:rsid w:val="0029398A"/>
    <w:rsid w:val="00293A89"/>
    <w:rsid w:val="00293AD0"/>
    <w:rsid w:val="00293D78"/>
    <w:rsid w:val="00293E9B"/>
    <w:rsid w:val="00293F93"/>
    <w:rsid w:val="00293FA7"/>
    <w:rsid w:val="002940E9"/>
    <w:rsid w:val="00294178"/>
    <w:rsid w:val="00294760"/>
    <w:rsid w:val="002947AC"/>
    <w:rsid w:val="002947D9"/>
    <w:rsid w:val="002949D3"/>
    <w:rsid w:val="00294A42"/>
    <w:rsid w:val="0029528D"/>
    <w:rsid w:val="002953F6"/>
    <w:rsid w:val="00295473"/>
    <w:rsid w:val="0029553E"/>
    <w:rsid w:val="0029566B"/>
    <w:rsid w:val="00295684"/>
    <w:rsid w:val="002956FF"/>
    <w:rsid w:val="00295A84"/>
    <w:rsid w:val="00295AAD"/>
    <w:rsid w:val="00295B20"/>
    <w:rsid w:val="00295CF9"/>
    <w:rsid w:val="00295E99"/>
    <w:rsid w:val="00296086"/>
    <w:rsid w:val="002960E0"/>
    <w:rsid w:val="002961DB"/>
    <w:rsid w:val="0029629C"/>
    <w:rsid w:val="00296494"/>
    <w:rsid w:val="002965B8"/>
    <w:rsid w:val="00296849"/>
    <w:rsid w:val="0029691B"/>
    <w:rsid w:val="002969C0"/>
    <w:rsid w:val="00296A5A"/>
    <w:rsid w:val="00296AA9"/>
    <w:rsid w:val="00296E52"/>
    <w:rsid w:val="00296FA7"/>
    <w:rsid w:val="002970F7"/>
    <w:rsid w:val="002971EA"/>
    <w:rsid w:val="0029734D"/>
    <w:rsid w:val="00297352"/>
    <w:rsid w:val="00297489"/>
    <w:rsid w:val="0029757A"/>
    <w:rsid w:val="0029766D"/>
    <w:rsid w:val="00297713"/>
    <w:rsid w:val="002978B8"/>
    <w:rsid w:val="002978C0"/>
    <w:rsid w:val="00297937"/>
    <w:rsid w:val="00297C36"/>
    <w:rsid w:val="00297C6D"/>
    <w:rsid w:val="00297F19"/>
    <w:rsid w:val="00297F76"/>
    <w:rsid w:val="002A00E9"/>
    <w:rsid w:val="002A01AD"/>
    <w:rsid w:val="002A0351"/>
    <w:rsid w:val="002A047B"/>
    <w:rsid w:val="002A0518"/>
    <w:rsid w:val="002A0526"/>
    <w:rsid w:val="002A05BF"/>
    <w:rsid w:val="002A05D2"/>
    <w:rsid w:val="002A061E"/>
    <w:rsid w:val="002A084F"/>
    <w:rsid w:val="002A08B3"/>
    <w:rsid w:val="002A0928"/>
    <w:rsid w:val="002A0A17"/>
    <w:rsid w:val="002A0A1C"/>
    <w:rsid w:val="002A0D1C"/>
    <w:rsid w:val="002A0E9B"/>
    <w:rsid w:val="002A0EB9"/>
    <w:rsid w:val="002A0FEB"/>
    <w:rsid w:val="002A12C7"/>
    <w:rsid w:val="002A12D5"/>
    <w:rsid w:val="002A1303"/>
    <w:rsid w:val="002A1A5B"/>
    <w:rsid w:val="002A1B12"/>
    <w:rsid w:val="002A1CA3"/>
    <w:rsid w:val="002A1CF7"/>
    <w:rsid w:val="002A1D0D"/>
    <w:rsid w:val="002A1D32"/>
    <w:rsid w:val="002A1E1C"/>
    <w:rsid w:val="002A1E3A"/>
    <w:rsid w:val="002A2691"/>
    <w:rsid w:val="002A29AC"/>
    <w:rsid w:val="002A2A25"/>
    <w:rsid w:val="002A2C04"/>
    <w:rsid w:val="002A2C78"/>
    <w:rsid w:val="002A2EA8"/>
    <w:rsid w:val="002A38EC"/>
    <w:rsid w:val="002A3C42"/>
    <w:rsid w:val="002A3D4B"/>
    <w:rsid w:val="002A3F1E"/>
    <w:rsid w:val="002A3F88"/>
    <w:rsid w:val="002A3F8E"/>
    <w:rsid w:val="002A4496"/>
    <w:rsid w:val="002A4538"/>
    <w:rsid w:val="002A47B0"/>
    <w:rsid w:val="002A4BDA"/>
    <w:rsid w:val="002A4F5A"/>
    <w:rsid w:val="002A509D"/>
    <w:rsid w:val="002A5270"/>
    <w:rsid w:val="002A58A6"/>
    <w:rsid w:val="002A5C7E"/>
    <w:rsid w:val="002A5DBD"/>
    <w:rsid w:val="002A5F04"/>
    <w:rsid w:val="002A5F94"/>
    <w:rsid w:val="002A61FB"/>
    <w:rsid w:val="002A627D"/>
    <w:rsid w:val="002A6376"/>
    <w:rsid w:val="002A6396"/>
    <w:rsid w:val="002A63EA"/>
    <w:rsid w:val="002A6950"/>
    <w:rsid w:val="002A6B15"/>
    <w:rsid w:val="002A6BF2"/>
    <w:rsid w:val="002A6DEE"/>
    <w:rsid w:val="002A6E7C"/>
    <w:rsid w:val="002A6F99"/>
    <w:rsid w:val="002A700D"/>
    <w:rsid w:val="002A7172"/>
    <w:rsid w:val="002A725C"/>
    <w:rsid w:val="002A732D"/>
    <w:rsid w:val="002A734E"/>
    <w:rsid w:val="002A738B"/>
    <w:rsid w:val="002A775E"/>
    <w:rsid w:val="002A776F"/>
    <w:rsid w:val="002A7839"/>
    <w:rsid w:val="002A7928"/>
    <w:rsid w:val="002A7930"/>
    <w:rsid w:val="002A7938"/>
    <w:rsid w:val="002A7B54"/>
    <w:rsid w:val="002A7BB6"/>
    <w:rsid w:val="002A7CE5"/>
    <w:rsid w:val="002A7D85"/>
    <w:rsid w:val="002A7E81"/>
    <w:rsid w:val="002B001D"/>
    <w:rsid w:val="002B0369"/>
    <w:rsid w:val="002B0503"/>
    <w:rsid w:val="002B0560"/>
    <w:rsid w:val="002B06EF"/>
    <w:rsid w:val="002B07B0"/>
    <w:rsid w:val="002B08D9"/>
    <w:rsid w:val="002B09CD"/>
    <w:rsid w:val="002B0B11"/>
    <w:rsid w:val="002B0C12"/>
    <w:rsid w:val="002B0C36"/>
    <w:rsid w:val="002B0E57"/>
    <w:rsid w:val="002B10C7"/>
    <w:rsid w:val="002B124A"/>
    <w:rsid w:val="002B12F9"/>
    <w:rsid w:val="002B14B5"/>
    <w:rsid w:val="002B14FD"/>
    <w:rsid w:val="002B1508"/>
    <w:rsid w:val="002B16CA"/>
    <w:rsid w:val="002B17D4"/>
    <w:rsid w:val="002B1821"/>
    <w:rsid w:val="002B1851"/>
    <w:rsid w:val="002B1C23"/>
    <w:rsid w:val="002B200A"/>
    <w:rsid w:val="002B2112"/>
    <w:rsid w:val="002B212C"/>
    <w:rsid w:val="002B217E"/>
    <w:rsid w:val="002B2467"/>
    <w:rsid w:val="002B268B"/>
    <w:rsid w:val="002B26B2"/>
    <w:rsid w:val="002B297B"/>
    <w:rsid w:val="002B2AAC"/>
    <w:rsid w:val="002B2AF1"/>
    <w:rsid w:val="002B2B76"/>
    <w:rsid w:val="002B2BC6"/>
    <w:rsid w:val="002B2C17"/>
    <w:rsid w:val="002B2E53"/>
    <w:rsid w:val="002B2FA0"/>
    <w:rsid w:val="002B31C6"/>
    <w:rsid w:val="002B33A0"/>
    <w:rsid w:val="002B3419"/>
    <w:rsid w:val="002B341A"/>
    <w:rsid w:val="002B3605"/>
    <w:rsid w:val="002B39EB"/>
    <w:rsid w:val="002B3A8B"/>
    <w:rsid w:val="002B3C40"/>
    <w:rsid w:val="002B3CE1"/>
    <w:rsid w:val="002B3FC8"/>
    <w:rsid w:val="002B40AC"/>
    <w:rsid w:val="002B40EC"/>
    <w:rsid w:val="002B4333"/>
    <w:rsid w:val="002B452A"/>
    <w:rsid w:val="002B46BF"/>
    <w:rsid w:val="002B47FD"/>
    <w:rsid w:val="002B4805"/>
    <w:rsid w:val="002B4948"/>
    <w:rsid w:val="002B4A5F"/>
    <w:rsid w:val="002B4D38"/>
    <w:rsid w:val="002B505F"/>
    <w:rsid w:val="002B510B"/>
    <w:rsid w:val="002B5173"/>
    <w:rsid w:val="002B521B"/>
    <w:rsid w:val="002B5430"/>
    <w:rsid w:val="002B5621"/>
    <w:rsid w:val="002B575B"/>
    <w:rsid w:val="002B577F"/>
    <w:rsid w:val="002B5922"/>
    <w:rsid w:val="002B5A15"/>
    <w:rsid w:val="002B605B"/>
    <w:rsid w:val="002B60D0"/>
    <w:rsid w:val="002B6164"/>
    <w:rsid w:val="002B61AC"/>
    <w:rsid w:val="002B6688"/>
    <w:rsid w:val="002B6751"/>
    <w:rsid w:val="002B6752"/>
    <w:rsid w:val="002B68CE"/>
    <w:rsid w:val="002B698C"/>
    <w:rsid w:val="002B6990"/>
    <w:rsid w:val="002B69BA"/>
    <w:rsid w:val="002B69BC"/>
    <w:rsid w:val="002B6BCF"/>
    <w:rsid w:val="002B6C26"/>
    <w:rsid w:val="002B6C9A"/>
    <w:rsid w:val="002B6E77"/>
    <w:rsid w:val="002B6F54"/>
    <w:rsid w:val="002B727B"/>
    <w:rsid w:val="002B73E9"/>
    <w:rsid w:val="002B7436"/>
    <w:rsid w:val="002B74EB"/>
    <w:rsid w:val="002B75E5"/>
    <w:rsid w:val="002B7840"/>
    <w:rsid w:val="002B797A"/>
    <w:rsid w:val="002B79C5"/>
    <w:rsid w:val="002B7B76"/>
    <w:rsid w:val="002B7BBF"/>
    <w:rsid w:val="002B7C7B"/>
    <w:rsid w:val="002B7D7E"/>
    <w:rsid w:val="002B7E83"/>
    <w:rsid w:val="002B7F1B"/>
    <w:rsid w:val="002B7FFD"/>
    <w:rsid w:val="002B82DC"/>
    <w:rsid w:val="002C0067"/>
    <w:rsid w:val="002C0375"/>
    <w:rsid w:val="002C06A1"/>
    <w:rsid w:val="002C079B"/>
    <w:rsid w:val="002C0875"/>
    <w:rsid w:val="002C089B"/>
    <w:rsid w:val="002C08A3"/>
    <w:rsid w:val="002C0908"/>
    <w:rsid w:val="002C0B1F"/>
    <w:rsid w:val="002C0CF5"/>
    <w:rsid w:val="002C0D72"/>
    <w:rsid w:val="002C0E7A"/>
    <w:rsid w:val="002C0F29"/>
    <w:rsid w:val="002C0F30"/>
    <w:rsid w:val="002C1280"/>
    <w:rsid w:val="002C1368"/>
    <w:rsid w:val="002C1394"/>
    <w:rsid w:val="002C1642"/>
    <w:rsid w:val="002C1A79"/>
    <w:rsid w:val="002C1DD4"/>
    <w:rsid w:val="002C1DDD"/>
    <w:rsid w:val="002C1E15"/>
    <w:rsid w:val="002C1FEF"/>
    <w:rsid w:val="002C20AE"/>
    <w:rsid w:val="002C217A"/>
    <w:rsid w:val="002C21C8"/>
    <w:rsid w:val="002C24C7"/>
    <w:rsid w:val="002C25D9"/>
    <w:rsid w:val="002C2B39"/>
    <w:rsid w:val="002C2ECB"/>
    <w:rsid w:val="002C327C"/>
    <w:rsid w:val="002C3395"/>
    <w:rsid w:val="002C34FD"/>
    <w:rsid w:val="002C3597"/>
    <w:rsid w:val="002C35DE"/>
    <w:rsid w:val="002C3AC0"/>
    <w:rsid w:val="002C3B85"/>
    <w:rsid w:val="002C3C37"/>
    <w:rsid w:val="002C3DE2"/>
    <w:rsid w:val="002C3E4E"/>
    <w:rsid w:val="002C3F2C"/>
    <w:rsid w:val="002C401D"/>
    <w:rsid w:val="002C40F4"/>
    <w:rsid w:val="002C40F7"/>
    <w:rsid w:val="002C417A"/>
    <w:rsid w:val="002C427B"/>
    <w:rsid w:val="002C42B2"/>
    <w:rsid w:val="002C4300"/>
    <w:rsid w:val="002C4393"/>
    <w:rsid w:val="002C44B3"/>
    <w:rsid w:val="002C44BC"/>
    <w:rsid w:val="002C44DA"/>
    <w:rsid w:val="002C4531"/>
    <w:rsid w:val="002C46F1"/>
    <w:rsid w:val="002C478F"/>
    <w:rsid w:val="002C487D"/>
    <w:rsid w:val="002C4AEA"/>
    <w:rsid w:val="002C4CF8"/>
    <w:rsid w:val="002C4D57"/>
    <w:rsid w:val="002C4F75"/>
    <w:rsid w:val="002C4F7A"/>
    <w:rsid w:val="002C4FBD"/>
    <w:rsid w:val="002C5003"/>
    <w:rsid w:val="002C556B"/>
    <w:rsid w:val="002C56C1"/>
    <w:rsid w:val="002C5ADF"/>
    <w:rsid w:val="002C5D71"/>
    <w:rsid w:val="002C5E34"/>
    <w:rsid w:val="002C5FD5"/>
    <w:rsid w:val="002C6002"/>
    <w:rsid w:val="002C604B"/>
    <w:rsid w:val="002C61BC"/>
    <w:rsid w:val="002C61F7"/>
    <w:rsid w:val="002C638C"/>
    <w:rsid w:val="002C6423"/>
    <w:rsid w:val="002C650A"/>
    <w:rsid w:val="002C69FE"/>
    <w:rsid w:val="002C6A4F"/>
    <w:rsid w:val="002C6ABA"/>
    <w:rsid w:val="002C6AC4"/>
    <w:rsid w:val="002C6EAD"/>
    <w:rsid w:val="002C6FAF"/>
    <w:rsid w:val="002C70EE"/>
    <w:rsid w:val="002C7337"/>
    <w:rsid w:val="002C7666"/>
    <w:rsid w:val="002C78ED"/>
    <w:rsid w:val="002C7A39"/>
    <w:rsid w:val="002C7A51"/>
    <w:rsid w:val="002C7A8D"/>
    <w:rsid w:val="002C7D63"/>
    <w:rsid w:val="002C7DD5"/>
    <w:rsid w:val="002C7EE8"/>
    <w:rsid w:val="002C7F39"/>
    <w:rsid w:val="002C7F79"/>
    <w:rsid w:val="002D00DE"/>
    <w:rsid w:val="002D0133"/>
    <w:rsid w:val="002D0385"/>
    <w:rsid w:val="002D0520"/>
    <w:rsid w:val="002D0571"/>
    <w:rsid w:val="002D0867"/>
    <w:rsid w:val="002D0924"/>
    <w:rsid w:val="002D09CF"/>
    <w:rsid w:val="002D0A51"/>
    <w:rsid w:val="002D0B8D"/>
    <w:rsid w:val="002D0F24"/>
    <w:rsid w:val="002D0F8C"/>
    <w:rsid w:val="002D0F97"/>
    <w:rsid w:val="002D1113"/>
    <w:rsid w:val="002D17E9"/>
    <w:rsid w:val="002D18B6"/>
    <w:rsid w:val="002D19B5"/>
    <w:rsid w:val="002D1A1C"/>
    <w:rsid w:val="002D1A49"/>
    <w:rsid w:val="002D1B76"/>
    <w:rsid w:val="002D2047"/>
    <w:rsid w:val="002D2089"/>
    <w:rsid w:val="002D22B4"/>
    <w:rsid w:val="002D22E2"/>
    <w:rsid w:val="002D2458"/>
    <w:rsid w:val="002D26E7"/>
    <w:rsid w:val="002D2A7D"/>
    <w:rsid w:val="002D2AB1"/>
    <w:rsid w:val="002D2DCB"/>
    <w:rsid w:val="002D2EF1"/>
    <w:rsid w:val="002D306C"/>
    <w:rsid w:val="002D33F6"/>
    <w:rsid w:val="002D33FB"/>
    <w:rsid w:val="002D3439"/>
    <w:rsid w:val="002D3453"/>
    <w:rsid w:val="002D36C4"/>
    <w:rsid w:val="002D3881"/>
    <w:rsid w:val="002D3A3E"/>
    <w:rsid w:val="002D3B32"/>
    <w:rsid w:val="002D3E2A"/>
    <w:rsid w:val="002D4007"/>
    <w:rsid w:val="002D4169"/>
    <w:rsid w:val="002D437C"/>
    <w:rsid w:val="002D456A"/>
    <w:rsid w:val="002D45FC"/>
    <w:rsid w:val="002D46F7"/>
    <w:rsid w:val="002D49BB"/>
    <w:rsid w:val="002D49E3"/>
    <w:rsid w:val="002D4E81"/>
    <w:rsid w:val="002D4F9C"/>
    <w:rsid w:val="002D5054"/>
    <w:rsid w:val="002D5269"/>
    <w:rsid w:val="002D58CE"/>
    <w:rsid w:val="002D5B42"/>
    <w:rsid w:val="002D5D65"/>
    <w:rsid w:val="002D5E20"/>
    <w:rsid w:val="002D61C1"/>
    <w:rsid w:val="002D62DC"/>
    <w:rsid w:val="002D632B"/>
    <w:rsid w:val="002D6354"/>
    <w:rsid w:val="002D669C"/>
    <w:rsid w:val="002D66E9"/>
    <w:rsid w:val="002D6A42"/>
    <w:rsid w:val="002D6A45"/>
    <w:rsid w:val="002D6DA4"/>
    <w:rsid w:val="002D6E60"/>
    <w:rsid w:val="002D716E"/>
    <w:rsid w:val="002D71C1"/>
    <w:rsid w:val="002D71E3"/>
    <w:rsid w:val="002D7344"/>
    <w:rsid w:val="002D73BE"/>
    <w:rsid w:val="002D75AF"/>
    <w:rsid w:val="002D7723"/>
    <w:rsid w:val="002D78E9"/>
    <w:rsid w:val="002D7D15"/>
    <w:rsid w:val="002D7F23"/>
    <w:rsid w:val="002D7F80"/>
    <w:rsid w:val="002D7F90"/>
    <w:rsid w:val="002E0057"/>
    <w:rsid w:val="002E0173"/>
    <w:rsid w:val="002E0209"/>
    <w:rsid w:val="002E0283"/>
    <w:rsid w:val="002E02DD"/>
    <w:rsid w:val="002E045F"/>
    <w:rsid w:val="002E04EC"/>
    <w:rsid w:val="002E05D7"/>
    <w:rsid w:val="002E0754"/>
    <w:rsid w:val="002E0950"/>
    <w:rsid w:val="002E0989"/>
    <w:rsid w:val="002E0A70"/>
    <w:rsid w:val="002E0B35"/>
    <w:rsid w:val="002E0D42"/>
    <w:rsid w:val="002E0D97"/>
    <w:rsid w:val="002E0F46"/>
    <w:rsid w:val="002E108D"/>
    <w:rsid w:val="002E10B5"/>
    <w:rsid w:val="002E11D1"/>
    <w:rsid w:val="002E123A"/>
    <w:rsid w:val="002E138D"/>
    <w:rsid w:val="002E15A0"/>
    <w:rsid w:val="002E174E"/>
    <w:rsid w:val="002E192E"/>
    <w:rsid w:val="002E1A1F"/>
    <w:rsid w:val="002E1BC1"/>
    <w:rsid w:val="002E21B7"/>
    <w:rsid w:val="002E239E"/>
    <w:rsid w:val="002E2656"/>
    <w:rsid w:val="002E2740"/>
    <w:rsid w:val="002E28AF"/>
    <w:rsid w:val="002E29B5"/>
    <w:rsid w:val="002E2A7C"/>
    <w:rsid w:val="002E2B1B"/>
    <w:rsid w:val="002E2B3B"/>
    <w:rsid w:val="002E2D07"/>
    <w:rsid w:val="002E2E40"/>
    <w:rsid w:val="002E2F39"/>
    <w:rsid w:val="002E30FF"/>
    <w:rsid w:val="002E3202"/>
    <w:rsid w:val="002E32CE"/>
    <w:rsid w:val="002E363A"/>
    <w:rsid w:val="002E365E"/>
    <w:rsid w:val="002E36A3"/>
    <w:rsid w:val="002E379E"/>
    <w:rsid w:val="002E3BE1"/>
    <w:rsid w:val="002E3BE7"/>
    <w:rsid w:val="002E3F92"/>
    <w:rsid w:val="002E4463"/>
    <w:rsid w:val="002E448B"/>
    <w:rsid w:val="002E4796"/>
    <w:rsid w:val="002E48A6"/>
    <w:rsid w:val="002E4941"/>
    <w:rsid w:val="002E4987"/>
    <w:rsid w:val="002E4ABD"/>
    <w:rsid w:val="002E4ADF"/>
    <w:rsid w:val="002E4C65"/>
    <w:rsid w:val="002E4D6F"/>
    <w:rsid w:val="002E5027"/>
    <w:rsid w:val="002E5114"/>
    <w:rsid w:val="002E529F"/>
    <w:rsid w:val="002E53AC"/>
    <w:rsid w:val="002E5542"/>
    <w:rsid w:val="002E569A"/>
    <w:rsid w:val="002E569D"/>
    <w:rsid w:val="002E5882"/>
    <w:rsid w:val="002E5B2B"/>
    <w:rsid w:val="002E5B77"/>
    <w:rsid w:val="002E5E13"/>
    <w:rsid w:val="002E6076"/>
    <w:rsid w:val="002E6259"/>
    <w:rsid w:val="002E6533"/>
    <w:rsid w:val="002E661D"/>
    <w:rsid w:val="002E6874"/>
    <w:rsid w:val="002E6AF7"/>
    <w:rsid w:val="002E6C0B"/>
    <w:rsid w:val="002E6D05"/>
    <w:rsid w:val="002E6DED"/>
    <w:rsid w:val="002E70D7"/>
    <w:rsid w:val="002E73B5"/>
    <w:rsid w:val="002E7429"/>
    <w:rsid w:val="002E7579"/>
    <w:rsid w:val="002E76A7"/>
    <w:rsid w:val="002E786B"/>
    <w:rsid w:val="002E79DC"/>
    <w:rsid w:val="002E7B43"/>
    <w:rsid w:val="002E7C14"/>
    <w:rsid w:val="002E7D0E"/>
    <w:rsid w:val="002E7E3E"/>
    <w:rsid w:val="002E7E57"/>
    <w:rsid w:val="002E7E5A"/>
    <w:rsid w:val="002E7EE6"/>
    <w:rsid w:val="002E7F7D"/>
    <w:rsid w:val="002E7FF7"/>
    <w:rsid w:val="002F001E"/>
    <w:rsid w:val="002F018A"/>
    <w:rsid w:val="002F01BA"/>
    <w:rsid w:val="002F03CB"/>
    <w:rsid w:val="002F047D"/>
    <w:rsid w:val="002F058E"/>
    <w:rsid w:val="002F0776"/>
    <w:rsid w:val="002F0859"/>
    <w:rsid w:val="002F08D2"/>
    <w:rsid w:val="002F0A20"/>
    <w:rsid w:val="002F0C74"/>
    <w:rsid w:val="002F0D01"/>
    <w:rsid w:val="002F0D10"/>
    <w:rsid w:val="002F0E2C"/>
    <w:rsid w:val="002F0E87"/>
    <w:rsid w:val="002F100E"/>
    <w:rsid w:val="002F1109"/>
    <w:rsid w:val="002F153B"/>
    <w:rsid w:val="002F154E"/>
    <w:rsid w:val="002F1564"/>
    <w:rsid w:val="002F1707"/>
    <w:rsid w:val="002F18F6"/>
    <w:rsid w:val="002F1C47"/>
    <w:rsid w:val="002F1C9E"/>
    <w:rsid w:val="002F1DEE"/>
    <w:rsid w:val="002F1E15"/>
    <w:rsid w:val="002F1E23"/>
    <w:rsid w:val="002F1E85"/>
    <w:rsid w:val="002F1F4E"/>
    <w:rsid w:val="002F21F1"/>
    <w:rsid w:val="002F22A4"/>
    <w:rsid w:val="002F23B6"/>
    <w:rsid w:val="002F26FD"/>
    <w:rsid w:val="002F2706"/>
    <w:rsid w:val="002F2944"/>
    <w:rsid w:val="002F29AD"/>
    <w:rsid w:val="002F29F7"/>
    <w:rsid w:val="002F2A45"/>
    <w:rsid w:val="002F2EC3"/>
    <w:rsid w:val="002F30E8"/>
    <w:rsid w:val="002F3281"/>
    <w:rsid w:val="002F346A"/>
    <w:rsid w:val="002F34E4"/>
    <w:rsid w:val="002F37C3"/>
    <w:rsid w:val="002F3B23"/>
    <w:rsid w:val="002F3C24"/>
    <w:rsid w:val="002F3CE9"/>
    <w:rsid w:val="002F3D63"/>
    <w:rsid w:val="002F3EC7"/>
    <w:rsid w:val="002F3F76"/>
    <w:rsid w:val="002F3F7F"/>
    <w:rsid w:val="002F417D"/>
    <w:rsid w:val="002F425B"/>
    <w:rsid w:val="002F43D7"/>
    <w:rsid w:val="002F4759"/>
    <w:rsid w:val="002F48D4"/>
    <w:rsid w:val="002F4CAF"/>
    <w:rsid w:val="002F4CC1"/>
    <w:rsid w:val="002F4D81"/>
    <w:rsid w:val="002F4E84"/>
    <w:rsid w:val="002F4EF0"/>
    <w:rsid w:val="002F4F11"/>
    <w:rsid w:val="002F5111"/>
    <w:rsid w:val="002F5142"/>
    <w:rsid w:val="002F51BF"/>
    <w:rsid w:val="002F52AE"/>
    <w:rsid w:val="002F530D"/>
    <w:rsid w:val="002F53A3"/>
    <w:rsid w:val="002F555D"/>
    <w:rsid w:val="002F5655"/>
    <w:rsid w:val="002F577C"/>
    <w:rsid w:val="002F581B"/>
    <w:rsid w:val="002F59D1"/>
    <w:rsid w:val="002F5B26"/>
    <w:rsid w:val="002F5B6C"/>
    <w:rsid w:val="002F5F86"/>
    <w:rsid w:val="002F6128"/>
    <w:rsid w:val="002F62B7"/>
    <w:rsid w:val="002F64AA"/>
    <w:rsid w:val="002F6649"/>
    <w:rsid w:val="002F6856"/>
    <w:rsid w:val="002F6894"/>
    <w:rsid w:val="002F6A20"/>
    <w:rsid w:val="002F6A69"/>
    <w:rsid w:val="002F6B0A"/>
    <w:rsid w:val="002F6B93"/>
    <w:rsid w:val="002F6C59"/>
    <w:rsid w:val="002F6CB8"/>
    <w:rsid w:val="002F6EE5"/>
    <w:rsid w:val="002F6FFC"/>
    <w:rsid w:val="002F7012"/>
    <w:rsid w:val="002F716A"/>
    <w:rsid w:val="002F747B"/>
    <w:rsid w:val="002F7638"/>
    <w:rsid w:val="002F7806"/>
    <w:rsid w:val="002F7964"/>
    <w:rsid w:val="002F7E18"/>
    <w:rsid w:val="002F7FAF"/>
    <w:rsid w:val="00300085"/>
    <w:rsid w:val="003000B0"/>
    <w:rsid w:val="003000C9"/>
    <w:rsid w:val="003000F3"/>
    <w:rsid w:val="00300120"/>
    <w:rsid w:val="0030020C"/>
    <w:rsid w:val="00300697"/>
    <w:rsid w:val="00300C99"/>
    <w:rsid w:val="00300F18"/>
    <w:rsid w:val="003011B2"/>
    <w:rsid w:val="003012D7"/>
    <w:rsid w:val="00301436"/>
    <w:rsid w:val="00301559"/>
    <w:rsid w:val="003016BA"/>
    <w:rsid w:val="00301724"/>
    <w:rsid w:val="003017A4"/>
    <w:rsid w:val="00301849"/>
    <w:rsid w:val="003018A9"/>
    <w:rsid w:val="003018B6"/>
    <w:rsid w:val="003019F7"/>
    <w:rsid w:val="00301C19"/>
    <w:rsid w:val="00301C86"/>
    <w:rsid w:val="00301CC6"/>
    <w:rsid w:val="00301E21"/>
    <w:rsid w:val="00301F21"/>
    <w:rsid w:val="0030214E"/>
    <w:rsid w:val="003023A9"/>
    <w:rsid w:val="003023F5"/>
    <w:rsid w:val="003024A3"/>
    <w:rsid w:val="003024DE"/>
    <w:rsid w:val="003026BA"/>
    <w:rsid w:val="0030276E"/>
    <w:rsid w:val="00302784"/>
    <w:rsid w:val="00302F17"/>
    <w:rsid w:val="003034F4"/>
    <w:rsid w:val="00303730"/>
    <w:rsid w:val="003037D6"/>
    <w:rsid w:val="00303862"/>
    <w:rsid w:val="0030386C"/>
    <w:rsid w:val="0030398F"/>
    <w:rsid w:val="00303BF3"/>
    <w:rsid w:val="00303D6B"/>
    <w:rsid w:val="00303D7F"/>
    <w:rsid w:val="00303E06"/>
    <w:rsid w:val="00303E12"/>
    <w:rsid w:val="00303FD7"/>
    <w:rsid w:val="00304080"/>
    <w:rsid w:val="003041D5"/>
    <w:rsid w:val="00304336"/>
    <w:rsid w:val="003044E5"/>
    <w:rsid w:val="0030451A"/>
    <w:rsid w:val="0030454A"/>
    <w:rsid w:val="00304899"/>
    <w:rsid w:val="00304A0C"/>
    <w:rsid w:val="00304A51"/>
    <w:rsid w:val="00304B92"/>
    <w:rsid w:val="00304C70"/>
    <w:rsid w:val="00304DF6"/>
    <w:rsid w:val="00305018"/>
    <w:rsid w:val="0030508D"/>
    <w:rsid w:val="003052C2"/>
    <w:rsid w:val="003052CC"/>
    <w:rsid w:val="003052FE"/>
    <w:rsid w:val="00305321"/>
    <w:rsid w:val="003053CA"/>
    <w:rsid w:val="00305756"/>
    <w:rsid w:val="00305759"/>
    <w:rsid w:val="00305B14"/>
    <w:rsid w:val="00305D67"/>
    <w:rsid w:val="00305F1B"/>
    <w:rsid w:val="003060C1"/>
    <w:rsid w:val="00306365"/>
    <w:rsid w:val="00306656"/>
    <w:rsid w:val="00306827"/>
    <w:rsid w:val="003068E5"/>
    <w:rsid w:val="00306987"/>
    <w:rsid w:val="00306C1E"/>
    <w:rsid w:val="00306D68"/>
    <w:rsid w:val="00306F0C"/>
    <w:rsid w:val="00306F0D"/>
    <w:rsid w:val="00306F4F"/>
    <w:rsid w:val="00306FCA"/>
    <w:rsid w:val="003072C4"/>
    <w:rsid w:val="0030735B"/>
    <w:rsid w:val="00307365"/>
    <w:rsid w:val="00307388"/>
    <w:rsid w:val="0030745E"/>
    <w:rsid w:val="003075F9"/>
    <w:rsid w:val="003078A7"/>
    <w:rsid w:val="00307D16"/>
    <w:rsid w:val="00307D39"/>
    <w:rsid w:val="00310103"/>
    <w:rsid w:val="00310274"/>
    <w:rsid w:val="003103B1"/>
    <w:rsid w:val="00310434"/>
    <w:rsid w:val="003104D5"/>
    <w:rsid w:val="003106BF"/>
    <w:rsid w:val="00310878"/>
    <w:rsid w:val="003108B7"/>
    <w:rsid w:val="00310A37"/>
    <w:rsid w:val="00310BE4"/>
    <w:rsid w:val="00310C4C"/>
    <w:rsid w:val="00310D04"/>
    <w:rsid w:val="00310E81"/>
    <w:rsid w:val="00310F21"/>
    <w:rsid w:val="0031100C"/>
    <w:rsid w:val="003110D0"/>
    <w:rsid w:val="003110ED"/>
    <w:rsid w:val="00311322"/>
    <w:rsid w:val="003114FF"/>
    <w:rsid w:val="00311714"/>
    <w:rsid w:val="00311745"/>
    <w:rsid w:val="00311C50"/>
    <w:rsid w:val="00311C92"/>
    <w:rsid w:val="00311FD2"/>
    <w:rsid w:val="00312084"/>
    <w:rsid w:val="003120C5"/>
    <w:rsid w:val="003122DF"/>
    <w:rsid w:val="0031238D"/>
    <w:rsid w:val="00312568"/>
    <w:rsid w:val="0031256C"/>
    <w:rsid w:val="003126B0"/>
    <w:rsid w:val="003126DE"/>
    <w:rsid w:val="003126EF"/>
    <w:rsid w:val="0031278A"/>
    <w:rsid w:val="00312928"/>
    <w:rsid w:val="00312A9F"/>
    <w:rsid w:val="00312B11"/>
    <w:rsid w:val="00312C94"/>
    <w:rsid w:val="00312D67"/>
    <w:rsid w:val="00312F3A"/>
    <w:rsid w:val="00312F70"/>
    <w:rsid w:val="00312FA2"/>
    <w:rsid w:val="00312FDC"/>
    <w:rsid w:val="003130DE"/>
    <w:rsid w:val="0031351A"/>
    <w:rsid w:val="0031351F"/>
    <w:rsid w:val="0031370C"/>
    <w:rsid w:val="00313773"/>
    <w:rsid w:val="00313BA0"/>
    <w:rsid w:val="00313C03"/>
    <w:rsid w:val="00313C79"/>
    <w:rsid w:val="00313CDC"/>
    <w:rsid w:val="00313E05"/>
    <w:rsid w:val="00313F61"/>
    <w:rsid w:val="00314202"/>
    <w:rsid w:val="00314457"/>
    <w:rsid w:val="00314565"/>
    <w:rsid w:val="0031457F"/>
    <w:rsid w:val="003145C0"/>
    <w:rsid w:val="00314AA8"/>
    <w:rsid w:val="00314C2B"/>
    <w:rsid w:val="00314E5D"/>
    <w:rsid w:val="00314EC0"/>
    <w:rsid w:val="00314FE7"/>
    <w:rsid w:val="00315064"/>
    <w:rsid w:val="00315128"/>
    <w:rsid w:val="003153D3"/>
    <w:rsid w:val="003154AE"/>
    <w:rsid w:val="00315769"/>
    <w:rsid w:val="0031597B"/>
    <w:rsid w:val="00315BC7"/>
    <w:rsid w:val="00315CC6"/>
    <w:rsid w:val="00315D86"/>
    <w:rsid w:val="00316014"/>
    <w:rsid w:val="00316095"/>
    <w:rsid w:val="00316180"/>
    <w:rsid w:val="0031639A"/>
    <w:rsid w:val="003164DC"/>
    <w:rsid w:val="0031655F"/>
    <w:rsid w:val="003167A6"/>
    <w:rsid w:val="00316C18"/>
    <w:rsid w:val="00316C6B"/>
    <w:rsid w:val="00316DB9"/>
    <w:rsid w:val="00316E2F"/>
    <w:rsid w:val="003170CF"/>
    <w:rsid w:val="00317585"/>
    <w:rsid w:val="00317673"/>
    <w:rsid w:val="0031786C"/>
    <w:rsid w:val="0031790F"/>
    <w:rsid w:val="00317C02"/>
    <w:rsid w:val="00317CA4"/>
    <w:rsid w:val="00317CC6"/>
    <w:rsid w:val="00317D19"/>
    <w:rsid w:val="0032059D"/>
    <w:rsid w:val="00320BCE"/>
    <w:rsid w:val="00320BD7"/>
    <w:rsid w:val="00320E94"/>
    <w:rsid w:val="00320F2A"/>
    <w:rsid w:val="00321196"/>
    <w:rsid w:val="003213C1"/>
    <w:rsid w:val="0032149A"/>
    <w:rsid w:val="003214CC"/>
    <w:rsid w:val="0032154B"/>
    <w:rsid w:val="003215DA"/>
    <w:rsid w:val="003216D2"/>
    <w:rsid w:val="003217BE"/>
    <w:rsid w:val="0032190E"/>
    <w:rsid w:val="003219AC"/>
    <w:rsid w:val="003219D2"/>
    <w:rsid w:val="00321A79"/>
    <w:rsid w:val="00321AA7"/>
    <w:rsid w:val="00321ABC"/>
    <w:rsid w:val="00321BFA"/>
    <w:rsid w:val="00321D26"/>
    <w:rsid w:val="00321E3B"/>
    <w:rsid w:val="00321F00"/>
    <w:rsid w:val="0032220F"/>
    <w:rsid w:val="0032234B"/>
    <w:rsid w:val="003223A1"/>
    <w:rsid w:val="003224C2"/>
    <w:rsid w:val="00322572"/>
    <w:rsid w:val="003225BB"/>
    <w:rsid w:val="00322854"/>
    <w:rsid w:val="003228E5"/>
    <w:rsid w:val="00322A46"/>
    <w:rsid w:val="00322AB3"/>
    <w:rsid w:val="00322C0C"/>
    <w:rsid w:val="00322CB1"/>
    <w:rsid w:val="00322D1E"/>
    <w:rsid w:val="00322F20"/>
    <w:rsid w:val="00322F4D"/>
    <w:rsid w:val="00322F9D"/>
    <w:rsid w:val="00323176"/>
    <w:rsid w:val="00323233"/>
    <w:rsid w:val="00323404"/>
    <w:rsid w:val="00323449"/>
    <w:rsid w:val="00323450"/>
    <w:rsid w:val="003235C2"/>
    <w:rsid w:val="0032384D"/>
    <w:rsid w:val="003238C2"/>
    <w:rsid w:val="003238E8"/>
    <w:rsid w:val="00323C71"/>
    <w:rsid w:val="00323CB3"/>
    <w:rsid w:val="00323EB0"/>
    <w:rsid w:val="0032419B"/>
    <w:rsid w:val="0032422C"/>
    <w:rsid w:val="003243D4"/>
    <w:rsid w:val="003243F2"/>
    <w:rsid w:val="0032489B"/>
    <w:rsid w:val="0032497D"/>
    <w:rsid w:val="00324A12"/>
    <w:rsid w:val="00324B27"/>
    <w:rsid w:val="0032505D"/>
    <w:rsid w:val="00325146"/>
    <w:rsid w:val="0032529A"/>
    <w:rsid w:val="003252CC"/>
    <w:rsid w:val="0032535C"/>
    <w:rsid w:val="00325712"/>
    <w:rsid w:val="00325917"/>
    <w:rsid w:val="00325A17"/>
    <w:rsid w:val="00325B10"/>
    <w:rsid w:val="00325B44"/>
    <w:rsid w:val="00325C7E"/>
    <w:rsid w:val="00325E11"/>
    <w:rsid w:val="00325EF2"/>
    <w:rsid w:val="00325F31"/>
    <w:rsid w:val="0032608B"/>
    <w:rsid w:val="00326297"/>
    <w:rsid w:val="00326621"/>
    <w:rsid w:val="0032686B"/>
    <w:rsid w:val="003268DB"/>
    <w:rsid w:val="0032690F"/>
    <w:rsid w:val="00326A23"/>
    <w:rsid w:val="00326B06"/>
    <w:rsid w:val="00326BA1"/>
    <w:rsid w:val="00326EAB"/>
    <w:rsid w:val="00326F83"/>
    <w:rsid w:val="00326FC3"/>
    <w:rsid w:val="00327062"/>
    <w:rsid w:val="0032711C"/>
    <w:rsid w:val="003271F8"/>
    <w:rsid w:val="003272DB"/>
    <w:rsid w:val="00327335"/>
    <w:rsid w:val="00327383"/>
    <w:rsid w:val="00327874"/>
    <w:rsid w:val="00327A50"/>
    <w:rsid w:val="00327B3A"/>
    <w:rsid w:val="00327B63"/>
    <w:rsid w:val="00327BCD"/>
    <w:rsid w:val="00327D5D"/>
    <w:rsid w:val="00330007"/>
    <w:rsid w:val="00330113"/>
    <w:rsid w:val="00330257"/>
    <w:rsid w:val="00330363"/>
    <w:rsid w:val="003305CF"/>
    <w:rsid w:val="003309C0"/>
    <w:rsid w:val="00330A97"/>
    <w:rsid w:val="00330C40"/>
    <w:rsid w:val="00330CAA"/>
    <w:rsid w:val="00330D3D"/>
    <w:rsid w:val="00330DE1"/>
    <w:rsid w:val="00330E18"/>
    <w:rsid w:val="00330F07"/>
    <w:rsid w:val="003310D9"/>
    <w:rsid w:val="00331193"/>
    <w:rsid w:val="003312DC"/>
    <w:rsid w:val="00331477"/>
    <w:rsid w:val="0033157B"/>
    <w:rsid w:val="0033164E"/>
    <w:rsid w:val="00331680"/>
    <w:rsid w:val="0033173F"/>
    <w:rsid w:val="003317A5"/>
    <w:rsid w:val="003319CC"/>
    <w:rsid w:val="003319D6"/>
    <w:rsid w:val="00331A61"/>
    <w:rsid w:val="00331CAB"/>
    <w:rsid w:val="00331F0D"/>
    <w:rsid w:val="003321BB"/>
    <w:rsid w:val="003321E5"/>
    <w:rsid w:val="003322BE"/>
    <w:rsid w:val="00332669"/>
    <w:rsid w:val="00332911"/>
    <w:rsid w:val="00332A93"/>
    <w:rsid w:val="00332E78"/>
    <w:rsid w:val="00332E88"/>
    <w:rsid w:val="003332C0"/>
    <w:rsid w:val="0033366E"/>
    <w:rsid w:val="00333756"/>
    <w:rsid w:val="003337A2"/>
    <w:rsid w:val="00333C51"/>
    <w:rsid w:val="00333C5A"/>
    <w:rsid w:val="00333E85"/>
    <w:rsid w:val="00334183"/>
    <w:rsid w:val="0033427F"/>
    <w:rsid w:val="00334295"/>
    <w:rsid w:val="003343C5"/>
    <w:rsid w:val="00334545"/>
    <w:rsid w:val="0033459B"/>
    <w:rsid w:val="0033461A"/>
    <w:rsid w:val="00334669"/>
    <w:rsid w:val="0033490D"/>
    <w:rsid w:val="00334923"/>
    <w:rsid w:val="00334AA9"/>
    <w:rsid w:val="00334B6E"/>
    <w:rsid w:val="00334C4B"/>
    <w:rsid w:val="00334F97"/>
    <w:rsid w:val="00335018"/>
    <w:rsid w:val="0033514F"/>
    <w:rsid w:val="00335297"/>
    <w:rsid w:val="003352D2"/>
    <w:rsid w:val="003354B3"/>
    <w:rsid w:val="0033574B"/>
    <w:rsid w:val="003357C2"/>
    <w:rsid w:val="00335835"/>
    <w:rsid w:val="00335863"/>
    <w:rsid w:val="003359C2"/>
    <w:rsid w:val="00335C8A"/>
    <w:rsid w:val="00335D88"/>
    <w:rsid w:val="00335FAC"/>
    <w:rsid w:val="003360B9"/>
    <w:rsid w:val="003361BB"/>
    <w:rsid w:val="0033648F"/>
    <w:rsid w:val="003365ED"/>
    <w:rsid w:val="00336747"/>
    <w:rsid w:val="00336B12"/>
    <w:rsid w:val="0033709F"/>
    <w:rsid w:val="00337543"/>
    <w:rsid w:val="003376D8"/>
    <w:rsid w:val="00337759"/>
    <w:rsid w:val="00337F8B"/>
    <w:rsid w:val="00337FF7"/>
    <w:rsid w:val="003401E9"/>
    <w:rsid w:val="00340469"/>
    <w:rsid w:val="00340581"/>
    <w:rsid w:val="0034062D"/>
    <w:rsid w:val="003409AC"/>
    <w:rsid w:val="00340A0C"/>
    <w:rsid w:val="00340B11"/>
    <w:rsid w:val="00340C8B"/>
    <w:rsid w:val="00340E0F"/>
    <w:rsid w:val="0034117B"/>
    <w:rsid w:val="003413AA"/>
    <w:rsid w:val="00341608"/>
    <w:rsid w:val="0034177B"/>
    <w:rsid w:val="00341C4B"/>
    <w:rsid w:val="00341ED7"/>
    <w:rsid w:val="0034210E"/>
    <w:rsid w:val="00342205"/>
    <w:rsid w:val="003422C6"/>
    <w:rsid w:val="00342314"/>
    <w:rsid w:val="00342346"/>
    <w:rsid w:val="00342400"/>
    <w:rsid w:val="003426BA"/>
    <w:rsid w:val="003426C4"/>
    <w:rsid w:val="003427C6"/>
    <w:rsid w:val="00342A77"/>
    <w:rsid w:val="00342D4F"/>
    <w:rsid w:val="00342EE8"/>
    <w:rsid w:val="00343035"/>
    <w:rsid w:val="00343422"/>
    <w:rsid w:val="00343520"/>
    <w:rsid w:val="003436D1"/>
    <w:rsid w:val="003437AB"/>
    <w:rsid w:val="0034394E"/>
    <w:rsid w:val="00343BEC"/>
    <w:rsid w:val="00343D5E"/>
    <w:rsid w:val="00343E06"/>
    <w:rsid w:val="00344327"/>
    <w:rsid w:val="003443DE"/>
    <w:rsid w:val="0034499E"/>
    <w:rsid w:val="00344A40"/>
    <w:rsid w:val="00344AB8"/>
    <w:rsid w:val="00344BC0"/>
    <w:rsid w:val="00344E5D"/>
    <w:rsid w:val="00344F10"/>
    <w:rsid w:val="00344F65"/>
    <w:rsid w:val="00344F8F"/>
    <w:rsid w:val="0034507C"/>
    <w:rsid w:val="00345122"/>
    <w:rsid w:val="003451E2"/>
    <w:rsid w:val="00345264"/>
    <w:rsid w:val="00345335"/>
    <w:rsid w:val="003458D4"/>
    <w:rsid w:val="00345949"/>
    <w:rsid w:val="003459AB"/>
    <w:rsid w:val="00345A34"/>
    <w:rsid w:val="00345A9B"/>
    <w:rsid w:val="00345B2F"/>
    <w:rsid w:val="00346064"/>
    <w:rsid w:val="00346238"/>
    <w:rsid w:val="0034679A"/>
    <w:rsid w:val="003468BF"/>
    <w:rsid w:val="00346AC0"/>
    <w:rsid w:val="00346AF9"/>
    <w:rsid w:val="00346CC1"/>
    <w:rsid w:val="00346E1A"/>
    <w:rsid w:val="00346E84"/>
    <w:rsid w:val="0034710A"/>
    <w:rsid w:val="003471F6"/>
    <w:rsid w:val="00347325"/>
    <w:rsid w:val="003473E2"/>
    <w:rsid w:val="003473F2"/>
    <w:rsid w:val="003473F7"/>
    <w:rsid w:val="003473F8"/>
    <w:rsid w:val="00347497"/>
    <w:rsid w:val="00347511"/>
    <w:rsid w:val="0034752A"/>
    <w:rsid w:val="0034767D"/>
    <w:rsid w:val="00347859"/>
    <w:rsid w:val="003479CC"/>
    <w:rsid w:val="00347A58"/>
    <w:rsid w:val="00347A85"/>
    <w:rsid w:val="00347F1B"/>
    <w:rsid w:val="00350207"/>
    <w:rsid w:val="0035042A"/>
    <w:rsid w:val="00350473"/>
    <w:rsid w:val="003504EB"/>
    <w:rsid w:val="00350502"/>
    <w:rsid w:val="003505C9"/>
    <w:rsid w:val="00350814"/>
    <w:rsid w:val="00350BC2"/>
    <w:rsid w:val="00350CCE"/>
    <w:rsid w:val="00350D0B"/>
    <w:rsid w:val="00350D0D"/>
    <w:rsid w:val="00350F49"/>
    <w:rsid w:val="00350FA4"/>
    <w:rsid w:val="0035165A"/>
    <w:rsid w:val="00351675"/>
    <w:rsid w:val="003517B4"/>
    <w:rsid w:val="0035182F"/>
    <w:rsid w:val="00351836"/>
    <w:rsid w:val="0035194D"/>
    <w:rsid w:val="00351B27"/>
    <w:rsid w:val="00351B90"/>
    <w:rsid w:val="00351DF9"/>
    <w:rsid w:val="00351FE5"/>
    <w:rsid w:val="00352142"/>
    <w:rsid w:val="0035232B"/>
    <w:rsid w:val="00352338"/>
    <w:rsid w:val="0035242F"/>
    <w:rsid w:val="003526BB"/>
    <w:rsid w:val="00352750"/>
    <w:rsid w:val="00352988"/>
    <w:rsid w:val="003529BC"/>
    <w:rsid w:val="00352A0D"/>
    <w:rsid w:val="00352A28"/>
    <w:rsid w:val="00352F83"/>
    <w:rsid w:val="0035323D"/>
    <w:rsid w:val="003532EC"/>
    <w:rsid w:val="00353379"/>
    <w:rsid w:val="003534D0"/>
    <w:rsid w:val="0035378A"/>
    <w:rsid w:val="00353B6C"/>
    <w:rsid w:val="00353C1C"/>
    <w:rsid w:val="00354097"/>
    <w:rsid w:val="00354115"/>
    <w:rsid w:val="003542E4"/>
    <w:rsid w:val="003542FF"/>
    <w:rsid w:val="00354390"/>
    <w:rsid w:val="0035445B"/>
    <w:rsid w:val="00354495"/>
    <w:rsid w:val="003548EC"/>
    <w:rsid w:val="00354CA3"/>
    <w:rsid w:val="00354DF3"/>
    <w:rsid w:val="00354F70"/>
    <w:rsid w:val="003551E0"/>
    <w:rsid w:val="00355537"/>
    <w:rsid w:val="00355563"/>
    <w:rsid w:val="00355AD8"/>
    <w:rsid w:val="00355BAD"/>
    <w:rsid w:val="00355BE8"/>
    <w:rsid w:val="00355C1D"/>
    <w:rsid w:val="00355C8D"/>
    <w:rsid w:val="00355D3B"/>
    <w:rsid w:val="00356370"/>
    <w:rsid w:val="003568DE"/>
    <w:rsid w:val="00356A20"/>
    <w:rsid w:val="00356A9A"/>
    <w:rsid w:val="00356F34"/>
    <w:rsid w:val="00356FDC"/>
    <w:rsid w:val="003570B4"/>
    <w:rsid w:val="003570C4"/>
    <w:rsid w:val="003571A6"/>
    <w:rsid w:val="003572B9"/>
    <w:rsid w:val="00357367"/>
    <w:rsid w:val="0035748A"/>
    <w:rsid w:val="003574D4"/>
    <w:rsid w:val="0035775D"/>
    <w:rsid w:val="003579C5"/>
    <w:rsid w:val="00357A68"/>
    <w:rsid w:val="00357B97"/>
    <w:rsid w:val="00357E56"/>
    <w:rsid w:val="00357F4E"/>
    <w:rsid w:val="0035DBCD"/>
    <w:rsid w:val="00360050"/>
    <w:rsid w:val="00360085"/>
    <w:rsid w:val="003601C9"/>
    <w:rsid w:val="0036043B"/>
    <w:rsid w:val="00360444"/>
    <w:rsid w:val="0036087F"/>
    <w:rsid w:val="0036088E"/>
    <w:rsid w:val="00360BF2"/>
    <w:rsid w:val="00360C9B"/>
    <w:rsid w:val="00360E11"/>
    <w:rsid w:val="00360E5C"/>
    <w:rsid w:val="00360F24"/>
    <w:rsid w:val="00360F35"/>
    <w:rsid w:val="0036115A"/>
    <w:rsid w:val="003611A4"/>
    <w:rsid w:val="003611B1"/>
    <w:rsid w:val="003612F8"/>
    <w:rsid w:val="003613D3"/>
    <w:rsid w:val="00361571"/>
    <w:rsid w:val="00361575"/>
    <w:rsid w:val="00361781"/>
    <w:rsid w:val="00361980"/>
    <w:rsid w:val="00361A02"/>
    <w:rsid w:val="00361AB3"/>
    <w:rsid w:val="00361F89"/>
    <w:rsid w:val="00362170"/>
    <w:rsid w:val="0036235B"/>
    <w:rsid w:val="00362464"/>
    <w:rsid w:val="0036258D"/>
    <w:rsid w:val="003625EE"/>
    <w:rsid w:val="0036274E"/>
    <w:rsid w:val="00362826"/>
    <w:rsid w:val="00362D72"/>
    <w:rsid w:val="00362DE8"/>
    <w:rsid w:val="00362FBB"/>
    <w:rsid w:val="0036320C"/>
    <w:rsid w:val="00363434"/>
    <w:rsid w:val="003634AC"/>
    <w:rsid w:val="0036354F"/>
    <w:rsid w:val="003635BC"/>
    <w:rsid w:val="003637F7"/>
    <w:rsid w:val="00363833"/>
    <w:rsid w:val="003638B7"/>
    <w:rsid w:val="0036395B"/>
    <w:rsid w:val="00363B69"/>
    <w:rsid w:val="00363C95"/>
    <w:rsid w:val="00363E4D"/>
    <w:rsid w:val="00363F8D"/>
    <w:rsid w:val="00364018"/>
    <w:rsid w:val="00364027"/>
    <w:rsid w:val="00364103"/>
    <w:rsid w:val="00364268"/>
    <w:rsid w:val="003644FE"/>
    <w:rsid w:val="00364783"/>
    <w:rsid w:val="0036480A"/>
    <w:rsid w:val="00364892"/>
    <w:rsid w:val="003648B5"/>
    <w:rsid w:val="0036493B"/>
    <w:rsid w:val="00364947"/>
    <w:rsid w:val="00364B93"/>
    <w:rsid w:val="00364BF3"/>
    <w:rsid w:val="00364CB3"/>
    <w:rsid w:val="00364CB4"/>
    <w:rsid w:val="00364F24"/>
    <w:rsid w:val="003650D3"/>
    <w:rsid w:val="00365245"/>
    <w:rsid w:val="00365247"/>
    <w:rsid w:val="00365487"/>
    <w:rsid w:val="0036573B"/>
    <w:rsid w:val="003658BC"/>
    <w:rsid w:val="00365A44"/>
    <w:rsid w:val="00365B22"/>
    <w:rsid w:val="00365E1E"/>
    <w:rsid w:val="00365ED7"/>
    <w:rsid w:val="00366064"/>
    <w:rsid w:val="003661B8"/>
    <w:rsid w:val="00366236"/>
    <w:rsid w:val="00366272"/>
    <w:rsid w:val="00366431"/>
    <w:rsid w:val="00366615"/>
    <w:rsid w:val="00366904"/>
    <w:rsid w:val="0036699C"/>
    <w:rsid w:val="003669FD"/>
    <w:rsid w:val="00366B7A"/>
    <w:rsid w:val="00366B82"/>
    <w:rsid w:val="00366B83"/>
    <w:rsid w:val="00366BD6"/>
    <w:rsid w:val="00366CE2"/>
    <w:rsid w:val="00366E2A"/>
    <w:rsid w:val="00366F34"/>
    <w:rsid w:val="003674B4"/>
    <w:rsid w:val="003674C1"/>
    <w:rsid w:val="003675CE"/>
    <w:rsid w:val="003676F6"/>
    <w:rsid w:val="0036793D"/>
    <w:rsid w:val="003679D8"/>
    <w:rsid w:val="00367AE5"/>
    <w:rsid w:val="00367B82"/>
    <w:rsid w:val="00367B9B"/>
    <w:rsid w:val="00367D2B"/>
    <w:rsid w:val="00367FF0"/>
    <w:rsid w:val="00370108"/>
    <w:rsid w:val="0037026B"/>
    <w:rsid w:val="003703AC"/>
    <w:rsid w:val="0037048E"/>
    <w:rsid w:val="0037063D"/>
    <w:rsid w:val="00370849"/>
    <w:rsid w:val="00370A16"/>
    <w:rsid w:val="00370C37"/>
    <w:rsid w:val="00370FE5"/>
    <w:rsid w:val="00370FFA"/>
    <w:rsid w:val="00371010"/>
    <w:rsid w:val="00371080"/>
    <w:rsid w:val="00371409"/>
    <w:rsid w:val="0037143C"/>
    <w:rsid w:val="00371542"/>
    <w:rsid w:val="0037162B"/>
    <w:rsid w:val="0037199E"/>
    <w:rsid w:val="00371C08"/>
    <w:rsid w:val="00371ED1"/>
    <w:rsid w:val="00371FAE"/>
    <w:rsid w:val="00372006"/>
    <w:rsid w:val="00372034"/>
    <w:rsid w:val="00372056"/>
    <w:rsid w:val="00372422"/>
    <w:rsid w:val="00372AB6"/>
    <w:rsid w:val="00372AD8"/>
    <w:rsid w:val="00372C7F"/>
    <w:rsid w:val="00372D10"/>
    <w:rsid w:val="00373105"/>
    <w:rsid w:val="003732D1"/>
    <w:rsid w:val="003733E1"/>
    <w:rsid w:val="003736F2"/>
    <w:rsid w:val="0037385E"/>
    <w:rsid w:val="003739EF"/>
    <w:rsid w:val="00373DB6"/>
    <w:rsid w:val="00373EBC"/>
    <w:rsid w:val="00373F0F"/>
    <w:rsid w:val="00374000"/>
    <w:rsid w:val="003740A7"/>
    <w:rsid w:val="003740C0"/>
    <w:rsid w:val="003740EF"/>
    <w:rsid w:val="003742DF"/>
    <w:rsid w:val="00374313"/>
    <w:rsid w:val="00374A05"/>
    <w:rsid w:val="00374AE6"/>
    <w:rsid w:val="00374BA6"/>
    <w:rsid w:val="00375053"/>
    <w:rsid w:val="003750B2"/>
    <w:rsid w:val="00375128"/>
    <w:rsid w:val="00375374"/>
    <w:rsid w:val="003753B7"/>
    <w:rsid w:val="003754CD"/>
    <w:rsid w:val="003758B1"/>
    <w:rsid w:val="00375B77"/>
    <w:rsid w:val="00375CC0"/>
    <w:rsid w:val="00375DB8"/>
    <w:rsid w:val="0037600A"/>
    <w:rsid w:val="0037613E"/>
    <w:rsid w:val="00376154"/>
    <w:rsid w:val="00376237"/>
    <w:rsid w:val="003762F4"/>
    <w:rsid w:val="00376514"/>
    <w:rsid w:val="003765EA"/>
    <w:rsid w:val="00376A91"/>
    <w:rsid w:val="00376AAD"/>
    <w:rsid w:val="00376C9A"/>
    <w:rsid w:val="00376CC8"/>
    <w:rsid w:val="0037702A"/>
    <w:rsid w:val="00377040"/>
    <w:rsid w:val="00377093"/>
    <w:rsid w:val="0037715E"/>
    <w:rsid w:val="00377169"/>
    <w:rsid w:val="00377434"/>
    <w:rsid w:val="0037763A"/>
    <w:rsid w:val="0037788F"/>
    <w:rsid w:val="00377919"/>
    <w:rsid w:val="00377BC9"/>
    <w:rsid w:val="00377CA1"/>
    <w:rsid w:val="00377D60"/>
    <w:rsid w:val="00377E0C"/>
    <w:rsid w:val="0038005E"/>
    <w:rsid w:val="00380079"/>
    <w:rsid w:val="003800CA"/>
    <w:rsid w:val="0038047C"/>
    <w:rsid w:val="003804B1"/>
    <w:rsid w:val="003805EC"/>
    <w:rsid w:val="003809B9"/>
    <w:rsid w:val="00380A70"/>
    <w:rsid w:val="00380A87"/>
    <w:rsid w:val="00380D20"/>
    <w:rsid w:val="00380E6A"/>
    <w:rsid w:val="00380FE5"/>
    <w:rsid w:val="00381251"/>
    <w:rsid w:val="0038125D"/>
    <w:rsid w:val="003812A1"/>
    <w:rsid w:val="003815F7"/>
    <w:rsid w:val="0038161D"/>
    <w:rsid w:val="00381643"/>
    <w:rsid w:val="00381739"/>
    <w:rsid w:val="0038179E"/>
    <w:rsid w:val="003817D3"/>
    <w:rsid w:val="00381823"/>
    <w:rsid w:val="00381848"/>
    <w:rsid w:val="00381AD4"/>
    <w:rsid w:val="00381B71"/>
    <w:rsid w:val="00381B81"/>
    <w:rsid w:val="00381C3D"/>
    <w:rsid w:val="00381D6A"/>
    <w:rsid w:val="00381E0F"/>
    <w:rsid w:val="003820E5"/>
    <w:rsid w:val="00382207"/>
    <w:rsid w:val="00382516"/>
    <w:rsid w:val="00382522"/>
    <w:rsid w:val="00382790"/>
    <w:rsid w:val="00382813"/>
    <w:rsid w:val="0038286E"/>
    <w:rsid w:val="00382910"/>
    <w:rsid w:val="00382D46"/>
    <w:rsid w:val="00382DBF"/>
    <w:rsid w:val="00382DCD"/>
    <w:rsid w:val="00382E7F"/>
    <w:rsid w:val="00382E9B"/>
    <w:rsid w:val="0038304E"/>
    <w:rsid w:val="00383128"/>
    <w:rsid w:val="00383338"/>
    <w:rsid w:val="00383649"/>
    <w:rsid w:val="00383801"/>
    <w:rsid w:val="003838B7"/>
    <w:rsid w:val="00383A65"/>
    <w:rsid w:val="00383B25"/>
    <w:rsid w:val="00383B35"/>
    <w:rsid w:val="00383C35"/>
    <w:rsid w:val="00383D2F"/>
    <w:rsid w:val="00383F34"/>
    <w:rsid w:val="003844B9"/>
    <w:rsid w:val="00384771"/>
    <w:rsid w:val="003849DE"/>
    <w:rsid w:val="00384A42"/>
    <w:rsid w:val="00384B67"/>
    <w:rsid w:val="00384BC0"/>
    <w:rsid w:val="00384CC7"/>
    <w:rsid w:val="00384DFD"/>
    <w:rsid w:val="003852BE"/>
    <w:rsid w:val="00385500"/>
    <w:rsid w:val="0038556E"/>
    <w:rsid w:val="003855B6"/>
    <w:rsid w:val="0038569E"/>
    <w:rsid w:val="003858B4"/>
    <w:rsid w:val="00385928"/>
    <w:rsid w:val="003859B7"/>
    <w:rsid w:val="00385EBB"/>
    <w:rsid w:val="00385FB1"/>
    <w:rsid w:val="00385FBE"/>
    <w:rsid w:val="00385FDF"/>
    <w:rsid w:val="00386006"/>
    <w:rsid w:val="00386160"/>
    <w:rsid w:val="00386238"/>
    <w:rsid w:val="003862CA"/>
    <w:rsid w:val="0038636A"/>
    <w:rsid w:val="003863BB"/>
    <w:rsid w:val="003863DE"/>
    <w:rsid w:val="00386463"/>
    <w:rsid w:val="00386578"/>
    <w:rsid w:val="00386601"/>
    <w:rsid w:val="00386860"/>
    <w:rsid w:val="00386A3F"/>
    <w:rsid w:val="00386B14"/>
    <w:rsid w:val="00386B6A"/>
    <w:rsid w:val="00386BDC"/>
    <w:rsid w:val="00386FE9"/>
    <w:rsid w:val="003870A9"/>
    <w:rsid w:val="00387122"/>
    <w:rsid w:val="003873EF"/>
    <w:rsid w:val="00387435"/>
    <w:rsid w:val="00387504"/>
    <w:rsid w:val="00387795"/>
    <w:rsid w:val="00387847"/>
    <w:rsid w:val="00387888"/>
    <w:rsid w:val="00387A4F"/>
    <w:rsid w:val="00387C15"/>
    <w:rsid w:val="00387F91"/>
    <w:rsid w:val="003901EF"/>
    <w:rsid w:val="003902C7"/>
    <w:rsid w:val="003904C6"/>
    <w:rsid w:val="003906AB"/>
    <w:rsid w:val="003907DC"/>
    <w:rsid w:val="003909A2"/>
    <w:rsid w:val="00390B32"/>
    <w:rsid w:val="00390BE1"/>
    <w:rsid w:val="00390F7D"/>
    <w:rsid w:val="00391021"/>
    <w:rsid w:val="0039114C"/>
    <w:rsid w:val="0039124A"/>
    <w:rsid w:val="003912EC"/>
    <w:rsid w:val="003912F3"/>
    <w:rsid w:val="00391545"/>
    <w:rsid w:val="00391619"/>
    <w:rsid w:val="0039176E"/>
    <w:rsid w:val="00391791"/>
    <w:rsid w:val="003917BE"/>
    <w:rsid w:val="003918AA"/>
    <w:rsid w:val="00391BAD"/>
    <w:rsid w:val="00391C3E"/>
    <w:rsid w:val="00391C5A"/>
    <w:rsid w:val="00391C93"/>
    <w:rsid w:val="00392300"/>
    <w:rsid w:val="00392384"/>
    <w:rsid w:val="00392432"/>
    <w:rsid w:val="0039258D"/>
    <w:rsid w:val="003928C2"/>
    <w:rsid w:val="00392FF3"/>
    <w:rsid w:val="00393201"/>
    <w:rsid w:val="00393267"/>
    <w:rsid w:val="00393479"/>
    <w:rsid w:val="00393480"/>
    <w:rsid w:val="003934E9"/>
    <w:rsid w:val="00393746"/>
    <w:rsid w:val="003937FD"/>
    <w:rsid w:val="003938F5"/>
    <w:rsid w:val="0039399E"/>
    <w:rsid w:val="00393E27"/>
    <w:rsid w:val="00394038"/>
    <w:rsid w:val="0039405E"/>
    <w:rsid w:val="00394159"/>
    <w:rsid w:val="00394566"/>
    <w:rsid w:val="00394903"/>
    <w:rsid w:val="00394A43"/>
    <w:rsid w:val="00394B1B"/>
    <w:rsid w:val="00394B9C"/>
    <w:rsid w:val="00394DC8"/>
    <w:rsid w:val="00394DEA"/>
    <w:rsid w:val="00394EC8"/>
    <w:rsid w:val="003950D9"/>
    <w:rsid w:val="00396078"/>
    <w:rsid w:val="0039613D"/>
    <w:rsid w:val="003962BB"/>
    <w:rsid w:val="003963D9"/>
    <w:rsid w:val="00396418"/>
    <w:rsid w:val="003964BF"/>
    <w:rsid w:val="0039658A"/>
    <w:rsid w:val="003966E8"/>
    <w:rsid w:val="003967A7"/>
    <w:rsid w:val="003967B0"/>
    <w:rsid w:val="00396819"/>
    <w:rsid w:val="00396891"/>
    <w:rsid w:val="00396900"/>
    <w:rsid w:val="0039699B"/>
    <w:rsid w:val="00396A04"/>
    <w:rsid w:val="00396C2A"/>
    <w:rsid w:val="00396C59"/>
    <w:rsid w:val="00396D72"/>
    <w:rsid w:val="00396DEE"/>
    <w:rsid w:val="003970C8"/>
    <w:rsid w:val="0039723D"/>
    <w:rsid w:val="003975F3"/>
    <w:rsid w:val="0039763B"/>
    <w:rsid w:val="00397ABC"/>
    <w:rsid w:val="00397C86"/>
    <w:rsid w:val="00397D14"/>
    <w:rsid w:val="00397E64"/>
    <w:rsid w:val="00397EC3"/>
    <w:rsid w:val="003A00E5"/>
    <w:rsid w:val="003A0167"/>
    <w:rsid w:val="003A0274"/>
    <w:rsid w:val="003A02E3"/>
    <w:rsid w:val="003A02F3"/>
    <w:rsid w:val="003A049C"/>
    <w:rsid w:val="003A04CF"/>
    <w:rsid w:val="003A06C6"/>
    <w:rsid w:val="003A06FE"/>
    <w:rsid w:val="003A08C5"/>
    <w:rsid w:val="003A0E71"/>
    <w:rsid w:val="003A0F05"/>
    <w:rsid w:val="003A0F11"/>
    <w:rsid w:val="003A0F33"/>
    <w:rsid w:val="003A1163"/>
    <w:rsid w:val="003A1314"/>
    <w:rsid w:val="003A1407"/>
    <w:rsid w:val="003A15D1"/>
    <w:rsid w:val="003A1699"/>
    <w:rsid w:val="003A16C9"/>
    <w:rsid w:val="003A1B67"/>
    <w:rsid w:val="003A1E89"/>
    <w:rsid w:val="003A1EEE"/>
    <w:rsid w:val="003A2229"/>
    <w:rsid w:val="003A2406"/>
    <w:rsid w:val="003A24FE"/>
    <w:rsid w:val="003A25BE"/>
    <w:rsid w:val="003A267F"/>
    <w:rsid w:val="003A275B"/>
    <w:rsid w:val="003A2763"/>
    <w:rsid w:val="003A285C"/>
    <w:rsid w:val="003A2A76"/>
    <w:rsid w:val="003A2DA6"/>
    <w:rsid w:val="003A2E17"/>
    <w:rsid w:val="003A30FD"/>
    <w:rsid w:val="003A3250"/>
    <w:rsid w:val="003A3346"/>
    <w:rsid w:val="003A3388"/>
    <w:rsid w:val="003A3472"/>
    <w:rsid w:val="003A3595"/>
    <w:rsid w:val="003A3613"/>
    <w:rsid w:val="003A3889"/>
    <w:rsid w:val="003A39C3"/>
    <w:rsid w:val="003A4014"/>
    <w:rsid w:val="003A41A2"/>
    <w:rsid w:val="003A459E"/>
    <w:rsid w:val="003A48CD"/>
    <w:rsid w:val="003A4987"/>
    <w:rsid w:val="003A4991"/>
    <w:rsid w:val="003A4B03"/>
    <w:rsid w:val="003A4BD0"/>
    <w:rsid w:val="003A5193"/>
    <w:rsid w:val="003A5312"/>
    <w:rsid w:val="003A5360"/>
    <w:rsid w:val="003A56F3"/>
    <w:rsid w:val="003A5878"/>
    <w:rsid w:val="003A5AED"/>
    <w:rsid w:val="003A5C64"/>
    <w:rsid w:val="003A5D93"/>
    <w:rsid w:val="003A5EF9"/>
    <w:rsid w:val="003A5F20"/>
    <w:rsid w:val="003A6143"/>
    <w:rsid w:val="003A614D"/>
    <w:rsid w:val="003A61C8"/>
    <w:rsid w:val="003A6255"/>
    <w:rsid w:val="003A6464"/>
    <w:rsid w:val="003A64B0"/>
    <w:rsid w:val="003A64CD"/>
    <w:rsid w:val="003A64F4"/>
    <w:rsid w:val="003A66ED"/>
    <w:rsid w:val="003A6813"/>
    <w:rsid w:val="003A6973"/>
    <w:rsid w:val="003A6A1B"/>
    <w:rsid w:val="003A6A24"/>
    <w:rsid w:val="003A6ADC"/>
    <w:rsid w:val="003A6C4E"/>
    <w:rsid w:val="003A6C51"/>
    <w:rsid w:val="003A6D48"/>
    <w:rsid w:val="003A702D"/>
    <w:rsid w:val="003A7074"/>
    <w:rsid w:val="003A739D"/>
    <w:rsid w:val="003A746C"/>
    <w:rsid w:val="003A74B8"/>
    <w:rsid w:val="003A7584"/>
    <w:rsid w:val="003A75E6"/>
    <w:rsid w:val="003A7841"/>
    <w:rsid w:val="003A78E2"/>
    <w:rsid w:val="003A7B1F"/>
    <w:rsid w:val="003A7B82"/>
    <w:rsid w:val="003A7DE0"/>
    <w:rsid w:val="003B0174"/>
    <w:rsid w:val="003B02A3"/>
    <w:rsid w:val="003B0396"/>
    <w:rsid w:val="003B043F"/>
    <w:rsid w:val="003B04F3"/>
    <w:rsid w:val="003B053C"/>
    <w:rsid w:val="003B05B0"/>
    <w:rsid w:val="003B0616"/>
    <w:rsid w:val="003B082D"/>
    <w:rsid w:val="003B0887"/>
    <w:rsid w:val="003B0B33"/>
    <w:rsid w:val="003B0B47"/>
    <w:rsid w:val="003B0CDB"/>
    <w:rsid w:val="003B0CEC"/>
    <w:rsid w:val="003B0DB9"/>
    <w:rsid w:val="003B0E15"/>
    <w:rsid w:val="003B0E65"/>
    <w:rsid w:val="003B0EA5"/>
    <w:rsid w:val="003B114E"/>
    <w:rsid w:val="003B119B"/>
    <w:rsid w:val="003B137B"/>
    <w:rsid w:val="003B142E"/>
    <w:rsid w:val="003B151E"/>
    <w:rsid w:val="003B1959"/>
    <w:rsid w:val="003B1A49"/>
    <w:rsid w:val="003B1A6E"/>
    <w:rsid w:val="003B1D5F"/>
    <w:rsid w:val="003B1F4C"/>
    <w:rsid w:val="003B1F7C"/>
    <w:rsid w:val="003B2620"/>
    <w:rsid w:val="003B264D"/>
    <w:rsid w:val="003B27E0"/>
    <w:rsid w:val="003B29D3"/>
    <w:rsid w:val="003B2F6E"/>
    <w:rsid w:val="003B302E"/>
    <w:rsid w:val="003B303B"/>
    <w:rsid w:val="003B3135"/>
    <w:rsid w:val="003B3159"/>
    <w:rsid w:val="003B3440"/>
    <w:rsid w:val="003B3526"/>
    <w:rsid w:val="003B3654"/>
    <w:rsid w:val="003B38F1"/>
    <w:rsid w:val="003B3933"/>
    <w:rsid w:val="003B39AD"/>
    <w:rsid w:val="003B3B52"/>
    <w:rsid w:val="003B3CCA"/>
    <w:rsid w:val="003B4366"/>
    <w:rsid w:val="003B440E"/>
    <w:rsid w:val="003B45E0"/>
    <w:rsid w:val="003B4680"/>
    <w:rsid w:val="003B4865"/>
    <w:rsid w:val="003B488F"/>
    <w:rsid w:val="003B49A2"/>
    <w:rsid w:val="003B49D4"/>
    <w:rsid w:val="003B4C29"/>
    <w:rsid w:val="003B4D27"/>
    <w:rsid w:val="003B4EA1"/>
    <w:rsid w:val="003B4EA3"/>
    <w:rsid w:val="003B521C"/>
    <w:rsid w:val="003B58D3"/>
    <w:rsid w:val="003B59D6"/>
    <w:rsid w:val="003B5D01"/>
    <w:rsid w:val="003B5D46"/>
    <w:rsid w:val="003B5F82"/>
    <w:rsid w:val="003B5FA3"/>
    <w:rsid w:val="003B604E"/>
    <w:rsid w:val="003B6204"/>
    <w:rsid w:val="003B63BF"/>
    <w:rsid w:val="003B65D7"/>
    <w:rsid w:val="003B6602"/>
    <w:rsid w:val="003B6658"/>
    <w:rsid w:val="003B67C4"/>
    <w:rsid w:val="003B6960"/>
    <w:rsid w:val="003B6AD2"/>
    <w:rsid w:val="003B6B55"/>
    <w:rsid w:val="003B6BAB"/>
    <w:rsid w:val="003B6DCB"/>
    <w:rsid w:val="003B6F99"/>
    <w:rsid w:val="003B70BB"/>
    <w:rsid w:val="003B70BC"/>
    <w:rsid w:val="003B711B"/>
    <w:rsid w:val="003B7258"/>
    <w:rsid w:val="003B72AA"/>
    <w:rsid w:val="003B73C7"/>
    <w:rsid w:val="003B77C4"/>
    <w:rsid w:val="003B7A0B"/>
    <w:rsid w:val="003B7A0F"/>
    <w:rsid w:val="003B7A6D"/>
    <w:rsid w:val="003B7AC6"/>
    <w:rsid w:val="003B7C61"/>
    <w:rsid w:val="003B7D7A"/>
    <w:rsid w:val="003B7F5D"/>
    <w:rsid w:val="003C00F9"/>
    <w:rsid w:val="003C0388"/>
    <w:rsid w:val="003C0443"/>
    <w:rsid w:val="003C05D6"/>
    <w:rsid w:val="003C069D"/>
    <w:rsid w:val="003C0998"/>
    <w:rsid w:val="003C09A5"/>
    <w:rsid w:val="003C09F0"/>
    <w:rsid w:val="003C0C10"/>
    <w:rsid w:val="003C0CA3"/>
    <w:rsid w:val="003C0E6D"/>
    <w:rsid w:val="003C0E97"/>
    <w:rsid w:val="003C0F05"/>
    <w:rsid w:val="003C0FF8"/>
    <w:rsid w:val="003C10BC"/>
    <w:rsid w:val="003C1100"/>
    <w:rsid w:val="003C1205"/>
    <w:rsid w:val="003C16BB"/>
    <w:rsid w:val="003C186A"/>
    <w:rsid w:val="003C18CC"/>
    <w:rsid w:val="003C1A4A"/>
    <w:rsid w:val="003C1A64"/>
    <w:rsid w:val="003C1AED"/>
    <w:rsid w:val="003C1C05"/>
    <w:rsid w:val="003C2243"/>
    <w:rsid w:val="003C23A2"/>
    <w:rsid w:val="003C23D9"/>
    <w:rsid w:val="003C2546"/>
    <w:rsid w:val="003C25CA"/>
    <w:rsid w:val="003C26F5"/>
    <w:rsid w:val="003C2717"/>
    <w:rsid w:val="003C2753"/>
    <w:rsid w:val="003C28CD"/>
    <w:rsid w:val="003C2B9D"/>
    <w:rsid w:val="003C2BE2"/>
    <w:rsid w:val="003C2C3C"/>
    <w:rsid w:val="003C2DD3"/>
    <w:rsid w:val="003C2E05"/>
    <w:rsid w:val="003C307E"/>
    <w:rsid w:val="003C311F"/>
    <w:rsid w:val="003C325F"/>
    <w:rsid w:val="003C36F0"/>
    <w:rsid w:val="003C37DA"/>
    <w:rsid w:val="003C3891"/>
    <w:rsid w:val="003C394A"/>
    <w:rsid w:val="003C3A82"/>
    <w:rsid w:val="003C3AEA"/>
    <w:rsid w:val="003C3B23"/>
    <w:rsid w:val="003C3DA0"/>
    <w:rsid w:val="003C3F66"/>
    <w:rsid w:val="003C4014"/>
    <w:rsid w:val="003C413A"/>
    <w:rsid w:val="003C423C"/>
    <w:rsid w:val="003C4353"/>
    <w:rsid w:val="003C436D"/>
    <w:rsid w:val="003C43BD"/>
    <w:rsid w:val="003C461B"/>
    <w:rsid w:val="003C487B"/>
    <w:rsid w:val="003C4B7E"/>
    <w:rsid w:val="003C4BD6"/>
    <w:rsid w:val="003C4C15"/>
    <w:rsid w:val="003C4FAF"/>
    <w:rsid w:val="003C5045"/>
    <w:rsid w:val="003C5118"/>
    <w:rsid w:val="003C5324"/>
    <w:rsid w:val="003C547A"/>
    <w:rsid w:val="003C5512"/>
    <w:rsid w:val="003C59B0"/>
    <w:rsid w:val="003C5BBF"/>
    <w:rsid w:val="003C5F4B"/>
    <w:rsid w:val="003C60B1"/>
    <w:rsid w:val="003C61E3"/>
    <w:rsid w:val="003C6226"/>
    <w:rsid w:val="003C628D"/>
    <w:rsid w:val="003C635C"/>
    <w:rsid w:val="003C649A"/>
    <w:rsid w:val="003C6687"/>
    <w:rsid w:val="003C6721"/>
    <w:rsid w:val="003C686B"/>
    <w:rsid w:val="003C692C"/>
    <w:rsid w:val="003C6BB1"/>
    <w:rsid w:val="003C6CFA"/>
    <w:rsid w:val="003C6D6E"/>
    <w:rsid w:val="003C6E2A"/>
    <w:rsid w:val="003C6ED7"/>
    <w:rsid w:val="003C6FF1"/>
    <w:rsid w:val="003C705B"/>
    <w:rsid w:val="003C7311"/>
    <w:rsid w:val="003C73B2"/>
    <w:rsid w:val="003C75CF"/>
    <w:rsid w:val="003C778D"/>
    <w:rsid w:val="003C780D"/>
    <w:rsid w:val="003C796A"/>
    <w:rsid w:val="003C7988"/>
    <w:rsid w:val="003C7A0E"/>
    <w:rsid w:val="003C7AB9"/>
    <w:rsid w:val="003C7AC6"/>
    <w:rsid w:val="003C7D6C"/>
    <w:rsid w:val="003C7D9F"/>
    <w:rsid w:val="003D03C7"/>
    <w:rsid w:val="003D0487"/>
    <w:rsid w:val="003D0634"/>
    <w:rsid w:val="003D074F"/>
    <w:rsid w:val="003D0839"/>
    <w:rsid w:val="003D091C"/>
    <w:rsid w:val="003D0AC7"/>
    <w:rsid w:val="003D0C58"/>
    <w:rsid w:val="003D0FB0"/>
    <w:rsid w:val="003D102A"/>
    <w:rsid w:val="003D10E9"/>
    <w:rsid w:val="003D10EA"/>
    <w:rsid w:val="003D11F9"/>
    <w:rsid w:val="003D1203"/>
    <w:rsid w:val="003D14C8"/>
    <w:rsid w:val="003D1609"/>
    <w:rsid w:val="003D17C1"/>
    <w:rsid w:val="003D17FA"/>
    <w:rsid w:val="003D1A35"/>
    <w:rsid w:val="003D1A48"/>
    <w:rsid w:val="003D1C40"/>
    <w:rsid w:val="003D1C7A"/>
    <w:rsid w:val="003D1CEC"/>
    <w:rsid w:val="003D202D"/>
    <w:rsid w:val="003D207C"/>
    <w:rsid w:val="003D20D7"/>
    <w:rsid w:val="003D23CA"/>
    <w:rsid w:val="003D242F"/>
    <w:rsid w:val="003D244A"/>
    <w:rsid w:val="003D24BE"/>
    <w:rsid w:val="003D26E7"/>
    <w:rsid w:val="003D26F2"/>
    <w:rsid w:val="003D2706"/>
    <w:rsid w:val="003D27DE"/>
    <w:rsid w:val="003D294B"/>
    <w:rsid w:val="003D295D"/>
    <w:rsid w:val="003D29BA"/>
    <w:rsid w:val="003D29BC"/>
    <w:rsid w:val="003D29D6"/>
    <w:rsid w:val="003D2CC0"/>
    <w:rsid w:val="003D2EE1"/>
    <w:rsid w:val="003D302F"/>
    <w:rsid w:val="003D325A"/>
    <w:rsid w:val="003D32CB"/>
    <w:rsid w:val="003D32DB"/>
    <w:rsid w:val="003D33EE"/>
    <w:rsid w:val="003D398F"/>
    <w:rsid w:val="003D3A21"/>
    <w:rsid w:val="003D3B8A"/>
    <w:rsid w:val="003D3BB3"/>
    <w:rsid w:val="003D3C9B"/>
    <w:rsid w:val="003D3E31"/>
    <w:rsid w:val="003D40C0"/>
    <w:rsid w:val="003D40C5"/>
    <w:rsid w:val="003D40E9"/>
    <w:rsid w:val="003D4123"/>
    <w:rsid w:val="003D45F5"/>
    <w:rsid w:val="003D4743"/>
    <w:rsid w:val="003D4765"/>
    <w:rsid w:val="003D4969"/>
    <w:rsid w:val="003D4A4F"/>
    <w:rsid w:val="003D4BDC"/>
    <w:rsid w:val="003D4C76"/>
    <w:rsid w:val="003D5016"/>
    <w:rsid w:val="003D5025"/>
    <w:rsid w:val="003D527C"/>
    <w:rsid w:val="003D541C"/>
    <w:rsid w:val="003D545D"/>
    <w:rsid w:val="003D55E8"/>
    <w:rsid w:val="003D573B"/>
    <w:rsid w:val="003D5910"/>
    <w:rsid w:val="003D59CC"/>
    <w:rsid w:val="003D5BE4"/>
    <w:rsid w:val="003D5D81"/>
    <w:rsid w:val="003D6025"/>
    <w:rsid w:val="003D61A6"/>
    <w:rsid w:val="003D63B9"/>
    <w:rsid w:val="003D67E8"/>
    <w:rsid w:val="003D682A"/>
    <w:rsid w:val="003D68A6"/>
    <w:rsid w:val="003D6B2F"/>
    <w:rsid w:val="003D6B6D"/>
    <w:rsid w:val="003D6C6A"/>
    <w:rsid w:val="003D6EDA"/>
    <w:rsid w:val="003D6FC3"/>
    <w:rsid w:val="003D71A9"/>
    <w:rsid w:val="003D72A4"/>
    <w:rsid w:val="003D7394"/>
    <w:rsid w:val="003D789A"/>
    <w:rsid w:val="003D7ACB"/>
    <w:rsid w:val="003D7B11"/>
    <w:rsid w:val="003D7DA6"/>
    <w:rsid w:val="003D7F75"/>
    <w:rsid w:val="003E0219"/>
    <w:rsid w:val="003E0244"/>
    <w:rsid w:val="003E0266"/>
    <w:rsid w:val="003E033A"/>
    <w:rsid w:val="003E0497"/>
    <w:rsid w:val="003E05FF"/>
    <w:rsid w:val="003E0753"/>
    <w:rsid w:val="003E07D7"/>
    <w:rsid w:val="003E084D"/>
    <w:rsid w:val="003E08A0"/>
    <w:rsid w:val="003E09C6"/>
    <w:rsid w:val="003E0C78"/>
    <w:rsid w:val="003E0D21"/>
    <w:rsid w:val="003E0E8E"/>
    <w:rsid w:val="003E0FA3"/>
    <w:rsid w:val="003E1250"/>
    <w:rsid w:val="003E138F"/>
    <w:rsid w:val="003E13A3"/>
    <w:rsid w:val="003E1464"/>
    <w:rsid w:val="003E14BF"/>
    <w:rsid w:val="003E1664"/>
    <w:rsid w:val="003E174D"/>
    <w:rsid w:val="003E177C"/>
    <w:rsid w:val="003E19A6"/>
    <w:rsid w:val="003E1ABF"/>
    <w:rsid w:val="003E1D26"/>
    <w:rsid w:val="003E1F97"/>
    <w:rsid w:val="003E2481"/>
    <w:rsid w:val="003E25C2"/>
    <w:rsid w:val="003E2617"/>
    <w:rsid w:val="003E2687"/>
    <w:rsid w:val="003E28F0"/>
    <w:rsid w:val="003E291E"/>
    <w:rsid w:val="003E2ABF"/>
    <w:rsid w:val="003E2EAC"/>
    <w:rsid w:val="003E2EB9"/>
    <w:rsid w:val="003E31DC"/>
    <w:rsid w:val="003E3361"/>
    <w:rsid w:val="003E39A9"/>
    <w:rsid w:val="003E3AD8"/>
    <w:rsid w:val="003E3E0B"/>
    <w:rsid w:val="003E3E35"/>
    <w:rsid w:val="003E3F08"/>
    <w:rsid w:val="003E3F9A"/>
    <w:rsid w:val="003E40E8"/>
    <w:rsid w:val="003E42F3"/>
    <w:rsid w:val="003E44D2"/>
    <w:rsid w:val="003E47FA"/>
    <w:rsid w:val="003E483A"/>
    <w:rsid w:val="003E48F1"/>
    <w:rsid w:val="003E4DB0"/>
    <w:rsid w:val="003E4DDF"/>
    <w:rsid w:val="003E5044"/>
    <w:rsid w:val="003E51F1"/>
    <w:rsid w:val="003E524B"/>
    <w:rsid w:val="003E52CE"/>
    <w:rsid w:val="003E53EC"/>
    <w:rsid w:val="003E5497"/>
    <w:rsid w:val="003E56D5"/>
    <w:rsid w:val="003E5C72"/>
    <w:rsid w:val="003E5F83"/>
    <w:rsid w:val="003E5FE0"/>
    <w:rsid w:val="003E6372"/>
    <w:rsid w:val="003E650D"/>
    <w:rsid w:val="003E6673"/>
    <w:rsid w:val="003E67C3"/>
    <w:rsid w:val="003E67E0"/>
    <w:rsid w:val="003E6B00"/>
    <w:rsid w:val="003E6C1D"/>
    <w:rsid w:val="003E6CDE"/>
    <w:rsid w:val="003E6D4B"/>
    <w:rsid w:val="003E6E12"/>
    <w:rsid w:val="003E70B5"/>
    <w:rsid w:val="003E70C1"/>
    <w:rsid w:val="003E70C5"/>
    <w:rsid w:val="003E71C2"/>
    <w:rsid w:val="003E7212"/>
    <w:rsid w:val="003E72F8"/>
    <w:rsid w:val="003E7320"/>
    <w:rsid w:val="003E7355"/>
    <w:rsid w:val="003E7755"/>
    <w:rsid w:val="003E7763"/>
    <w:rsid w:val="003E7942"/>
    <w:rsid w:val="003E798F"/>
    <w:rsid w:val="003E7B21"/>
    <w:rsid w:val="003E7D41"/>
    <w:rsid w:val="003E7D90"/>
    <w:rsid w:val="003F00C7"/>
    <w:rsid w:val="003F0142"/>
    <w:rsid w:val="003F035E"/>
    <w:rsid w:val="003F08EC"/>
    <w:rsid w:val="003F0C4B"/>
    <w:rsid w:val="003F0FA8"/>
    <w:rsid w:val="003F0FDF"/>
    <w:rsid w:val="003F11BB"/>
    <w:rsid w:val="003F12CD"/>
    <w:rsid w:val="003F140C"/>
    <w:rsid w:val="003F143F"/>
    <w:rsid w:val="003F1576"/>
    <w:rsid w:val="003F17E3"/>
    <w:rsid w:val="003F180B"/>
    <w:rsid w:val="003F19AA"/>
    <w:rsid w:val="003F1AAF"/>
    <w:rsid w:val="003F1B22"/>
    <w:rsid w:val="003F1BA5"/>
    <w:rsid w:val="003F1BC3"/>
    <w:rsid w:val="003F1C47"/>
    <w:rsid w:val="003F1E28"/>
    <w:rsid w:val="003F1E5C"/>
    <w:rsid w:val="003F1F7E"/>
    <w:rsid w:val="003F238C"/>
    <w:rsid w:val="003F23EF"/>
    <w:rsid w:val="003F24E6"/>
    <w:rsid w:val="003F27EF"/>
    <w:rsid w:val="003F2865"/>
    <w:rsid w:val="003F28CD"/>
    <w:rsid w:val="003F2CA5"/>
    <w:rsid w:val="003F2EC2"/>
    <w:rsid w:val="003F3013"/>
    <w:rsid w:val="003F3166"/>
    <w:rsid w:val="003F3247"/>
    <w:rsid w:val="003F32BF"/>
    <w:rsid w:val="003F3497"/>
    <w:rsid w:val="003F3512"/>
    <w:rsid w:val="003F367D"/>
    <w:rsid w:val="003F387E"/>
    <w:rsid w:val="003F39F8"/>
    <w:rsid w:val="003F3A87"/>
    <w:rsid w:val="003F3CE7"/>
    <w:rsid w:val="003F3D44"/>
    <w:rsid w:val="003F3DA5"/>
    <w:rsid w:val="003F3EA6"/>
    <w:rsid w:val="003F3EEA"/>
    <w:rsid w:val="003F4069"/>
    <w:rsid w:val="003F419C"/>
    <w:rsid w:val="003F4294"/>
    <w:rsid w:val="003F4775"/>
    <w:rsid w:val="003F4841"/>
    <w:rsid w:val="003F485C"/>
    <w:rsid w:val="003F4925"/>
    <w:rsid w:val="003F4C18"/>
    <w:rsid w:val="003F5208"/>
    <w:rsid w:val="003F53C3"/>
    <w:rsid w:val="003F53F2"/>
    <w:rsid w:val="003F5644"/>
    <w:rsid w:val="003F5652"/>
    <w:rsid w:val="003F5750"/>
    <w:rsid w:val="003F5777"/>
    <w:rsid w:val="003F5997"/>
    <w:rsid w:val="003F5A2F"/>
    <w:rsid w:val="003F5DEA"/>
    <w:rsid w:val="003F6041"/>
    <w:rsid w:val="003F6151"/>
    <w:rsid w:val="003F615A"/>
    <w:rsid w:val="003F627C"/>
    <w:rsid w:val="003F659F"/>
    <w:rsid w:val="003F6919"/>
    <w:rsid w:val="003F6DEC"/>
    <w:rsid w:val="003F7038"/>
    <w:rsid w:val="003F722F"/>
    <w:rsid w:val="003F725F"/>
    <w:rsid w:val="003F7368"/>
    <w:rsid w:val="003F7476"/>
    <w:rsid w:val="003F792B"/>
    <w:rsid w:val="003F79C4"/>
    <w:rsid w:val="003F79C5"/>
    <w:rsid w:val="003F7A4B"/>
    <w:rsid w:val="003F7B89"/>
    <w:rsid w:val="003F7C56"/>
    <w:rsid w:val="003F7DDC"/>
    <w:rsid w:val="003F7E49"/>
    <w:rsid w:val="00400123"/>
    <w:rsid w:val="004003AF"/>
    <w:rsid w:val="00400591"/>
    <w:rsid w:val="004005D3"/>
    <w:rsid w:val="00400614"/>
    <w:rsid w:val="004006A3"/>
    <w:rsid w:val="004007AC"/>
    <w:rsid w:val="004009F0"/>
    <w:rsid w:val="00400AD0"/>
    <w:rsid w:val="00400B68"/>
    <w:rsid w:val="00400CA1"/>
    <w:rsid w:val="00400D16"/>
    <w:rsid w:val="00400D7E"/>
    <w:rsid w:val="00400EFE"/>
    <w:rsid w:val="00400F2D"/>
    <w:rsid w:val="00401157"/>
    <w:rsid w:val="004013E5"/>
    <w:rsid w:val="004017AD"/>
    <w:rsid w:val="004019F1"/>
    <w:rsid w:val="00401A0D"/>
    <w:rsid w:val="00401AC2"/>
    <w:rsid w:val="00401DAE"/>
    <w:rsid w:val="00401E2C"/>
    <w:rsid w:val="00401E54"/>
    <w:rsid w:val="00401F37"/>
    <w:rsid w:val="0040201C"/>
    <w:rsid w:val="00402077"/>
    <w:rsid w:val="00402137"/>
    <w:rsid w:val="004021A5"/>
    <w:rsid w:val="00402345"/>
    <w:rsid w:val="0040240E"/>
    <w:rsid w:val="004026D2"/>
    <w:rsid w:val="0040280D"/>
    <w:rsid w:val="00402A9E"/>
    <w:rsid w:val="00402B20"/>
    <w:rsid w:val="00402E0E"/>
    <w:rsid w:val="00403048"/>
    <w:rsid w:val="0040306E"/>
    <w:rsid w:val="004033D2"/>
    <w:rsid w:val="0040342B"/>
    <w:rsid w:val="00403637"/>
    <w:rsid w:val="004036DA"/>
    <w:rsid w:val="0040383D"/>
    <w:rsid w:val="004039B6"/>
    <w:rsid w:val="00403C3A"/>
    <w:rsid w:val="00403E80"/>
    <w:rsid w:val="00403EA5"/>
    <w:rsid w:val="00403EA7"/>
    <w:rsid w:val="00404011"/>
    <w:rsid w:val="00404309"/>
    <w:rsid w:val="00404395"/>
    <w:rsid w:val="004045F2"/>
    <w:rsid w:val="0040460D"/>
    <w:rsid w:val="0040466F"/>
    <w:rsid w:val="004046B0"/>
    <w:rsid w:val="00404762"/>
    <w:rsid w:val="00404A78"/>
    <w:rsid w:val="00404AEB"/>
    <w:rsid w:val="00404BD1"/>
    <w:rsid w:val="00404CEF"/>
    <w:rsid w:val="00404D8C"/>
    <w:rsid w:val="00404E3B"/>
    <w:rsid w:val="00404F3A"/>
    <w:rsid w:val="00404FC6"/>
    <w:rsid w:val="0040505C"/>
    <w:rsid w:val="00405095"/>
    <w:rsid w:val="00405114"/>
    <w:rsid w:val="004052C7"/>
    <w:rsid w:val="004054E4"/>
    <w:rsid w:val="004058CB"/>
    <w:rsid w:val="00406165"/>
    <w:rsid w:val="0040627C"/>
    <w:rsid w:val="004066EB"/>
    <w:rsid w:val="004068BD"/>
    <w:rsid w:val="004068EA"/>
    <w:rsid w:val="0040695D"/>
    <w:rsid w:val="00406993"/>
    <w:rsid w:val="00406ADC"/>
    <w:rsid w:val="00406C02"/>
    <w:rsid w:val="00406C3E"/>
    <w:rsid w:val="00407321"/>
    <w:rsid w:val="0040734C"/>
    <w:rsid w:val="00407594"/>
    <w:rsid w:val="0040768E"/>
    <w:rsid w:val="0040769B"/>
    <w:rsid w:val="004076D3"/>
    <w:rsid w:val="00407A77"/>
    <w:rsid w:val="00407B29"/>
    <w:rsid w:val="00407B37"/>
    <w:rsid w:val="00407C07"/>
    <w:rsid w:val="00407C32"/>
    <w:rsid w:val="00407CD5"/>
    <w:rsid w:val="00407D94"/>
    <w:rsid w:val="00407E3B"/>
    <w:rsid w:val="00407E92"/>
    <w:rsid w:val="00407FE8"/>
    <w:rsid w:val="00410084"/>
    <w:rsid w:val="00410163"/>
    <w:rsid w:val="004101E0"/>
    <w:rsid w:val="004101FA"/>
    <w:rsid w:val="00410339"/>
    <w:rsid w:val="00410496"/>
    <w:rsid w:val="004105D0"/>
    <w:rsid w:val="004106D0"/>
    <w:rsid w:val="004107B4"/>
    <w:rsid w:val="004107E7"/>
    <w:rsid w:val="0041089A"/>
    <w:rsid w:val="004108B5"/>
    <w:rsid w:val="004108B7"/>
    <w:rsid w:val="00410917"/>
    <w:rsid w:val="0041091B"/>
    <w:rsid w:val="00410CCB"/>
    <w:rsid w:val="00410D00"/>
    <w:rsid w:val="00410DE7"/>
    <w:rsid w:val="0041107E"/>
    <w:rsid w:val="00411091"/>
    <w:rsid w:val="00411BBA"/>
    <w:rsid w:val="00411BCA"/>
    <w:rsid w:val="00411CF4"/>
    <w:rsid w:val="00411DAB"/>
    <w:rsid w:val="00411DB8"/>
    <w:rsid w:val="00411F47"/>
    <w:rsid w:val="004120C5"/>
    <w:rsid w:val="00412258"/>
    <w:rsid w:val="004126E8"/>
    <w:rsid w:val="004127AD"/>
    <w:rsid w:val="0041280A"/>
    <w:rsid w:val="004128AF"/>
    <w:rsid w:val="004129A2"/>
    <w:rsid w:val="00412A0E"/>
    <w:rsid w:val="00412F2B"/>
    <w:rsid w:val="00412F38"/>
    <w:rsid w:val="00413167"/>
    <w:rsid w:val="0041319C"/>
    <w:rsid w:val="00413276"/>
    <w:rsid w:val="0041329C"/>
    <w:rsid w:val="004133CE"/>
    <w:rsid w:val="004134AB"/>
    <w:rsid w:val="004134DF"/>
    <w:rsid w:val="0041364F"/>
    <w:rsid w:val="004136A0"/>
    <w:rsid w:val="004138F2"/>
    <w:rsid w:val="00413AC2"/>
    <w:rsid w:val="00413ADB"/>
    <w:rsid w:val="00413D48"/>
    <w:rsid w:val="00413ECF"/>
    <w:rsid w:val="00413F09"/>
    <w:rsid w:val="0041412D"/>
    <w:rsid w:val="004141CA"/>
    <w:rsid w:val="00414483"/>
    <w:rsid w:val="004144CE"/>
    <w:rsid w:val="0041460A"/>
    <w:rsid w:val="00414614"/>
    <w:rsid w:val="004146E2"/>
    <w:rsid w:val="00414760"/>
    <w:rsid w:val="00414898"/>
    <w:rsid w:val="00414916"/>
    <w:rsid w:val="00414A0C"/>
    <w:rsid w:val="00414A13"/>
    <w:rsid w:val="00414A89"/>
    <w:rsid w:val="00414ACA"/>
    <w:rsid w:val="00414BD4"/>
    <w:rsid w:val="00414F02"/>
    <w:rsid w:val="00415066"/>
    <w:rsid w:val="0041516F"/>
    <w:rsid w:val="004151CE"/>
    <w:rsid w:val="00415216"/>
    <w:rsid w:val="004152FB"/>
    <w:rsid w:val="0041540E"/>
    <w:rsid w:val="0041544F"/>
    <w:rsid w:val="00415555"/>
    <w:rsid w:val="004156E2"/>
    <w:rsid w:val="00415785"/>
    <w:rsid w:val="00415872"/>
    <w:rsid w:val="00415A2C"/>
    <w:rsid w:val="00415C9E"/>
    <w:rsid w:val="00415D17"/>
    <w:rsid w:val="00415DC6"/>
    <w:rsid w:val="00415F25"/>
    <w:rsid w:val="00415F33"/>
    <w:rsid w:val="004160FA"/>
    <w:rsid w:val="00416103"/>
    <w:rsid w:val="00416123"/>
    <w:rsid w:val="004161DB"/>
    <w:rsid w:val="00416228"/>
    <w:rsid w:val="00416330"/>
    <w:rsid w:val="0041634C"/>
    <w:rsid w:val="00416356"/>
    <w:rsid w:val="00416358"/>
    <w:rsid w:val="0041666A"/>
    <w:rsid w:val="00416734"/>
    <w:rsid w:val="00416772"/>
    <w:rsid w:val="004168D1"/>
    <w:rsid w:val="00416A51"/>
    <w:rsid w:val="00417090"/>
    <w:rsid w:val="00417116"/>
    <w:rsid w:val="0041729A"/>
    <w:rsid w:val="004175F4"/>
    <w:rsid w:val="0041794D"/>
    <w:rsid w:val="00417D40"/>
    <w:rsid w:val="00417D4C"/>
    <w:rsid w:val="00417FB3"/>
    <w:rsid w:val="00417FC2"/>
    <w:rsid w:val="0042011C"/>
    <w:rsid w:val="0042034A"/>
    <w:rsid w:val="004204C5"/>
    <w:rsid w:val="0042063B"/>
    <w:rsid w:val="00420950"/>
    <w:rsid w:val="004209CE"/>
    <w:rsid w:val="004209E2"/>
    <w:rsid w:val="00420BD0"/>
    <w:rsid w:val="00420F0F"/>
    <w:rsid w:val="00421023"/>
    <w:rsid w:val="004216A3"/>
    <w:rsid w:val="0042181E"/>
    <w:rsid w:val="00421AB5"/>
    <w:rsid w:val="00421C19"/>
    <w:rsid w:val="00421C37"/>
    <w:rsid w:val="00421DCD"/>
    <w:rsid w:val="00421EEC"/>
    <w:rsid w:val="00422053"/>
    <w:rsid w:val="004221C0"/>
    <w:rsid w:val="004222E3"/>
    <w:rsid w:val="00422418"/>
    <w:rsid w:val="0042242C"/>
    <w:rsid w:val="0042245E"/>
    <w:rsid w:val="00422482"/>
    <w:rsid w:val="004224A3"/>
    <w:rsid w:val="0042276A"/>
    <w:rsid w:val="004227BE"/>
    <w:rsid w:val="004228BF"/>
    <w:rsid w:val="00422D39"/>
    <w:rsid w:val="00422E62"/>
    <w:rsid w:val="00422F40"/>
    <w:rsid w:val="00423007"/>
    <w:rsid w:val="0042306B"/>
    <w:rsid w:val="00423187"/>
    <w:rsid w:val="00423268"/>
    <w:rsid w:val="00423292"/>
    <w:rsid w:val="00423365"/>
    <w:rsid w:val="00423462"/>
    <w:rsid w:val="00423566"/>
    <w:rsid w:val="00423617"/>
    <w:rsid w:val="00423650"/>
    <w:rsid w:val="004238C2"/>
    <w:rsid w:val="004239AA"/>
    <w:rsid w:val="00423A6D"/>
    <w:rsid w:val="00423B76"/>
    <w:rsid w:val="00424314"/>
    <w:rsid w:val="004243CE"/>
    <w:rsid w:val="00424615"/>
    <w:rsid w:val="0042461E"/>
    <w:rsid w:val="0042481C"/>
    <w:rsid w:val="004248FE"/>
    <w:rsid w:val="00424928"/>
    <w:rsid w:val="00424BEA"/>
    <w:rsid w:val="00424C6D"/>
    <w:rsid w:val="00424F4F"/>
    <w:rsid w:val="00425007"/>
    <w:rsid w:val="0042505D"/>
    <w:rsid w:val="004250D3"/>
    <w:rsid w:val="00425234"/>
    <w:rsid w:val="004252A3"/>
    <w:rsid w:val="004252F0"/>
    <w:rsid w:val="00425635"/>
    <w:rsid w:val="004256F4"/>
    <w:rsid w:val="00425739"/>
    <w:rsid w:val="00425787"/>
    <w:rsid w:val="0042595A"/>
    <w:rsid w:val="00425DD0"/>
    <w:rsid w:val="00425E93"/>
    <w:rsid w:val="00425ECB"/>
    <w:rsid w:val="00425ED9"/>
    <w:rsid w:val="00425F88"/>
    <w:rsid w:val="00425F90"/>
    <w:rsid w:val="0042615D"/>
    <w:rsid w:val="004266F5"/>
    <w:rsid w:val="004269D6"/>
    <w:rsid w:val="004269F0"/>
    <w:rsid w:val="00426B09"/>
    <w:rsid w:val="00426BC4"/>
    <w:rsid w:val="0042706B"/>
    <w:rsid w:val="004271AC"/>
    <w:rsid w:val="0042724D"/>
    <w:rsid w:val="00427424"/>
    <w:rsid w:val="004274A1"/>
    <w:rsid w:val="00427659"/>
    <w:rsid w:val="0042784A"/>
    <w:rsid w:val="00427A28"/>
    <w:rsid w:val="00427B69"/>
    <w:rsid w:val="00427BE6"/>
    <w:rsid w:val="00427D24"/>
    <w:rsid w:val="00427FE0"/>
    <w:rsid w:val="0043014C"/>
    <w:rsid w:val="0043015B"/>
    <w:rsid w:val="004301F9"/>
    <w:rsid w:val="004302E6"/>
    <w:rsid w:val="0043059B"/>
    <w:rsid w:val="004305E0"/>
    <w:rsid w:val="00430AC0"/>
    <w:rsid w:val="00430B6F"/>
    <w:rsid w:val="00430BDB"/>
    <w:rsid w:val="00430E51"/>
    <w:rsid w:val="004311F8"/>
    <w:rsid w:val="004313C4"/>
    <w:rsid w:val="0043143B"/>
    <w:rsid w:val="00431528"/>
    <w:rsid w:val="00431739"/>
    <w:rsid w:val="004319EF"/>
    <w:rsid w:val="00431BCE"/>
    <w:rsid w:val="00431C8F"/>
    <w:rsid w:val="00431D3F"/>
    <w:rsid w:val="00431E19"/>
    <w:rsid w:val="00431E8A"/>
    <w:rsid w:val="0043203A"/>
    <w:rsid w:val="0043211A"/>
    <w:rsid w:val="004321FC"/>
    <w:rsid w:val="0043227B"/>
    <w:rsid w:val="004322C2"/>
    <w:rsid w:val="004323DE"/>
    <w:rsid w:val="004324BF"/>
    <w:rsid w:val="0043263A"/>
    <w:rsid w:val="0043271F"/>
    <w:rsid w:val="004328B5"/>
    <w:rsid w:val="00432B0F"/>
    <w:rsid w:val="00432D11"/>
    <w:rsid w:val="00432DA5"/>
    <w:rsid w:val="0043326B"/>
    <w:rsid w:val="00433491"/>
    <w:rsid w:val="0043379B"/>
    <w:rsid w:val="0043386D"/>
    <w:rsid w:val="00433949"/>
    <w:rsid w:val="00433997"/>
    <w:rsid w:val="004339BE"/>
    <w:rsid w:val="00433B3A"/>
    <w:rsid w:val="00433C65"/>
    <w:rsid w:val="00433CDD"/>
    <w:rsid w:val="00433CEA"/>
    <w:rsid w:val="00433D80"/>
    <w:rsid w:val="00433DEE"/>
    <w:rsid w:val="00433E29"/>
    <w:rsid w:val="00433E85"/>
    <w:rsid w:val="00434574"/>
    <w:rsid w:val="0043465B"/>
    <w:rsid w:val="004346F1"/>
    <w:rsid w:val="0043470F"/>
    <w:rsid w:val="004349D8"/>
    <w:rsid w:val="00434A28"/>
    <w:rsid w:val="00434AC1"/>
    <w:rsid w:val="00434BF0"/>
    <w:rsid w:val="00434BFE"/>
    <w:rsid w:val="00434EAC"/>
    <w:rsid w:val="00434F9F"/>
    <w:rsid w:val="00435117"/>
    <w:rsid w:val="00435197"/>
    <w:rsid w:val="004351D4"/>
    <w:rsid w:val="0043525B"/>
    <w:rsid w:val="00435260"/>
    <w:rsid w:val="004352B0"/>
    <w:rsid w:val="004352D9"/>
    <w:rsid w:val="00435584"/>
    <w:rsid w:val="004355AE"/>
    <w:rsid w:val="004356B4"/>
    <w:rsid w:val="00435704"/>
    <w:rsid w:val="0043593B"/>
    <w:rsid w:val="00435963"/>
    <w:rsid w:val="00435BC4"/>
    <w:rsid w:val="00435BED"/>
    <w:rsid w:val="00435EDB"/>
    <w:rsid w:val="00436140"/>
    <w:rsid w:val="004361D8"/>
    <w:rsid w:val="00436216"/>
    <w:rsid w:val="00436435"/>
    <w:rsid w:val="004364A9"/>
    <w:rsid w:val="0043696E"/>
    <w:rsid w:val="00436DDC"/>
    <w:rsid w:val="00436E99"/>
    <w:rsid w:val="00436F92"/>
    <w:rsid w:val="00437005"/>
    <w:rsid w:val="0043708E"/>
    <w:rsid w:val="004371F0"/>
    <w:rsid w:val="00437317"/>
    <w:rsid w:val="004374D8"/>
    <w:rsid w:val="004374F7"/>
    <w:rsid w:val="0043767F"/>
    <w:rsid w:val="004378E0"/>
    <w:rsid w:val="0043796C"/>
    <w:rsid w:val="004379F9"/>
    <w:rsid w:val="00437A67"/>
    <w:rsid w:val="00437D75"/>
    <w:rsid w:val="00437DCF"/>
    <w:rsid w:val="00437FAD"/>
    <w:rsid w:val="004401AC"/>
    <w:rsid w:val="00440216"/>
    <w:rsid w:val="00440252"/>
    <w:rsid w:val="004404E8"/>
    <w:rsid w:val="00440503"/>
    <w:rsid w:val="0044065A"/>
    <w:rsid w:val="00440800"/>
    <w:rsid w:val="0044087C"/>
    <w:rsid w:val="00440AB0"/>
    <w:rsid w:val="00440B6B"/>
    <w:rsid w:val="00440DCF"/>
    <w:rsid w:val="004410AF"/>
    <w:rsid w:val="004411D3"/>
    <w:rsid w:val="0044122A"/>
    <w:rsid w:val="004415BF"/>
    <w:rsid w:val="004416A8"/>
    <w:rsid w:val="00441731"/>
    <w:rsid w:val="00441760"/>
    <w:rsid w:val="00441796"/>
    <w:rsid w:val="004419F9"/>
    <w:rsid w:val="00441B60"/>
    <w:rsid w:val="00441BEB"/>
    <w:rsid w:val="00441CDF"/>
    <w:rsid w:val="00441E30"/>
    <w:rsid w:val="0044236C"/>
    <w:rsid w:val="004427D8"/>
    <w:rsid w:val="00442BA7"/>
    <w:rsid w:val="00442BC2"/>
    <w:rsid w:val="00442D11"/>
    <w:rsid w:val="00442DED"/>
    <w:rsid w:val="00443458"/>
    <w:rsid w:val="00443493"/>
    <w:rsid w:val="0044359C"/>
    <w:rsid w:val="00443737"/>
    <w:rsid w:val="00443810"/>
    <w:rsid w:val="00443913"/>
    <w:rsid w:val="00443A7E"/>
    <w:rsid w:val="00443D01"/>
    <w:rsid w:val="00443D26"/>
    <w:rsid w:val="00443E1E"/>
    <w:rsid w:val="00443F2F"/>
    <w:rsid w:val="00444005"/>
    <w:rsid w:val="004440E1"/>
    <w:rsid w:val="00444111"/>
    <w:rsid w:val="004441EB"/>
    <w:rsid w:val="0044444F"/>
    <w:rsid w:val="00444451"/>
    <w:rsid w:val="00444594"/>
    <w:rsid w:val="00444A4A"/>
    <w:rsid w:val="00444B3F"/>
    <w:rsid w:val="00444B65"/>
    <w:rsid w:val="00444CBD"/>
    <w:rsid w:val="00444CC8"/>
    <w:rsid w:val="00444CF7"/>
    <w:rsid w:val="00444D53"/>
    <w:rsid w:val="00444D57"/>
    <w:rsid w:val="00444D70"/>
    <w:rsid w:val="00444D80"/>
    <w:rsid w:val="00444E7F"/>
    <w:rsid w:val="00444EA7"/>
    <w:rsid w:val="00444F20"/>
    <w:rsid w:val="00444F57"/>
    <w:rsid w:val="00445088"/>
    <w:rsid w:val="004451BE"/>
    <w:rsid w:val="00445614"/>
    <w:rsid w:val="004456CB"/>
    <w:rsid w:val="00445A1F"/>
    <w:rsid w:val="00445A48"/>
    <w:rsid w:val="00445B7A"/>
    <w:rsid w:val="00445C62"/>
    <w:rsid w:val="00445E9C"/>
    <w:rsid w:val="00446362"/>
    <w:rsid w:val="004463BB"/>
    <w:rsid w:val="004464F3"/>
    <w:rsid w:val="00446704"/>
    <w:rsid w:val="00446820"/>
    <w:rsid w:val="00446864"/>
    <w:rsid w:val="004468E5"/>
    <w:rsid w:val="00446903"/>
    <w:rsid w:val="00446937"/>
    <w:rsid w:val="00446A1C"/>
    <w:rsid w:val="00446CB0"/>
    <w:rsid w:val="00447082"/>
    <w:rsid w:val="004470BF"/>
    <w:rsid w:val="00447403"/>
    <w:rsid w:val="0044744B"/>
    <w:rsid w:val="00447735"/>
    <w:rsid w:val="00447939"/>
    <w:rsid w:val="00447960"/>
    <w:rsid w:val="00447990"/>
    <w:rsid w:val="004479F1"/>
    <w:rsid w:val="00447A15"/>
    <w:rsid w:val="00447B68"/>
    <w:rsid w:val="00447C64"/>
    <w:rsid w:val="00447C8F"/>
    <w:rsid w:val="00450089"/>
    <w:rsid w:val="004500EE"/>
    <w:rsid w:val="00450133"/>
    <w:rsid w:val="00450161"/>
    <w:rsid w:val="004502BF"/>
    <w:rsid w:val="00450340"/>
    <w:rsid w:val="00450377"/>
    <w:rsid w:val="004503BA"/>
    <w:rsid w:val="004504D9"/>
    <w:rsid w:val="0045061D"/>
    <w:rsid w:val="0045061F"/>
    <w:rsid w:val="00450639"/>
    <w:rsid w:val="0045091B"/>
    <w:rsid w:val="00450A76"/>
    <w:rsid w:val="00450B07"/>
    <w:rsid w:val="00450D4C"/>
    <w:rsid w:val="00450EA5"/>
    <w:rsid w:val="004510EB"/>
    <w:rsid w:val="0045117D"/>
    <w:rsid w:val="00451213"/>
    <w:rsid w:val="00451398"/>
    <w:rsid w:val="004513B7"/>
    <w:rsid w:val="00451561"/>
    <w:rsid w:val="00451613"/>
    <w:rsid w:val="00451674"/>
    <w:rsid w:val="00451760"/>
    <w:rsid w:val="00451846"/>
    <w:rsid w:val="0045193D"/>
    <w:rsid w:val="0045197F"/>
    <w:rsid w:val="00451B4E"/>
    <w:rsid w:val="00451FBD"/>
    <w:rsid w:val="004521FB"/>
    <w:rsid w:val="004522B7"/>
    <w:rsid w:val="0045230A"/>
    <w:rsid w:val="00452325"/>
    <w:rsid w:val="0045232A"/>
    <w:rsid w:val="004527BD"/>
    <w:rsid w:val="00452800"/>
    <w:rsid w:val="00452964"/>
    <w:rsid w:val="00452A6C"/>
    <w:rsid w:val="00452C37"/>
    <w:rsid w:val="00452C9F"/>
    <w:rsid w:val="00452CC8"/>
    <w:rsid w:val="00452D2A"/>
    <w:rsid w:val="00452F0D"/>
    <w:rsid w:val="00452F98"/>
    <w:rsid w:val="004531A8"/>
    <w:rsid w:val="004531D0"/>
    <w:rsid w:val="00453439"/>
    <w:rsid w:val="00453443"/>
    <w:rsid w:val="00453570"/>
    <w:rsid w:val="004536BB"/>
    <w:rsid w:val="004536D2"/>
    <w:rsid w:val="0045379A"/>
    <w:rsid w:val="00453990"/>
    <w:rsid w:val="004539E0"/>
    <w:rsid w:val="00453BAD"/>
    <w:rsid w:val="00453D05"/>
    <w:rsid w:val="00453E17"/>
    <w:rsid w:val="00453E8F"/>
    <w:rsid w:val="00453F57"/>
    <w:rsid w:val="00454187"/>
    <w:rsid w:val="004544F4"/>
    <w:rsid w:val="004545B1"/>
    <w:rsid w:val="00454724"/>
    <w:rsid w:val="00454B5F"/>
    <w:rsid w:val="00454F7C"/>
    <w:rsid w:val="00455261"/>
    <w:rsid w:val="0045537D"/>
    <w:rsid w:val="00455457"/>
    <w:rsid w:val="004554D1"/>
    <w:rsid w:val="004555C1"/>
    <w:rsid w:val="00455620"/>
    <w:rsid w:val="00455785"/>
    <w:rsid w:val="004559E5"/>
    <w:rsid w:val="00455F8F"/>
    <w:rsid w:val="00456100"/>
    <w:rsid w:val="00456118"/>
    <w:rsid w:val="00456182"/>
    <w:rsid w:val="00456268"/>
    <w:rsid w:val="004565BA"/>
    <w:rsid w:val="00456626"/>
    <w:rsid w:val="004566F3"/>
    <w:rsid w:val="0045678D"/>
    <w:rsid w:val="004568BE"/>
    <w:rsid w:val="004568C9"/>
    <w:rsid w:val="004568EA"/>
    <w:rsid w:val="00456963"/>
    <w:rsid w:val="004569EC"/>
    <w:rsid w:val="00456EC4"/>
    <w:rsid w:val="00457030"/>
    <w:rsid w:val="00457127"/>
    <w:rsid w:val="00457210"/>
    <w:rsid w:val="004575B8"/>
    <w:rsid w:val="00457629"/>
    <w:rsid w:val="004578FB"/>
    <w:rsid w:val="004579B6"/>
    <w:rsid w:val="00457B38"/>
    <w:rsid w:val="00457BD8"/>
    <w:rsid w:val="00457DDF"/>
    <w:rsid w:val="00457EA0"/>
    <w:rsid w:val="00457F78"/>
    <w:rsid w:val="0046007F"/>
    <w:rsid w:val="004600A8"/>
    <w:rsid w:val="004600F1"/>
    <w:rsid w:val="0046012F"/>
    <w:rsid w:val="00460162"/>
    <w:rsid w:val="00460316"/>
    <w:rsid w:val="0046045F"/>
    <w:rsid w:val="00460487"/>
    <w:rsid w:val="004604F9"/>
    <w:rsid w:val="00460535"/>
    <w:rsid w:val="0046087A"/>
    <w:rsid w:val="004608BB"/>
    <w:rsid w:val="004609D8"/>
    <w:rsid w:val="00460C35"/>
    <w:rsid w:val="00460E4F"/>
    <w:rsid w:val="00460F3B"/>
    <w:rsid w:val="004611E8"/>
    <w:rsid w:val="004612C9"/>
    <w:rsid w:val="0046132C"/>
    <w:rsid w:val="0046133C"/>
    <w:rsid w:val="00461360"/>
    <w:rsid w:val="00461568"/>
    <w:rsid w:val="004615EC"/>
    <w:rsid w:val="0046162D"/>
    <w:rsid w:val="0046169F"/>
    <w:rsid w:val="00461765"/>
    <w:rsid w:val="0046179D"/>
    <w:rsid w:val="00461838"/>
    <w:rsid w:val="00461895"/>
    <w:rsid w:val="00461987"/>
    <w:rsid w:val="004619E5"/>
    <w:rsid w:val="00461AFF"/>
    <w:rsid w:val="00461DA4"/>
    <w:rsid w:val="00461EFE"/>
    <w:rsid w:val="00461FC1"/>
    <w:rsid w:val="004622C9"/>
    <w:rsid w:val="0046250E"/>
    <w:rsid w:val="00462526"/>
    <w:rsid w:val="0046255D"/>
    <w:rsid w:val="00462610"/>
    <w:rsid w:val="004626F0"/>
    <w:rsid w:val="00462729"/>
    <w:rsid w:val="00462AF3"/>
    <w:rsid w:val="00462B27"/>
    <w:rsid w:val="00462D7F"/>
    <w:rsid w:val="00462E97"/>
    <w:rsid w:val="00463167"/>
    <w:rsid w:val="00463443"/>
    <w:rsid w:val="00463525"/>
    <w:rsid w:val="004635B8"/>
    <w:rsid w:val="004636F2"/>
    <w:rsid w:val="004637FC"/>
    <w:rsid w:val="0046386D"/>
    <w:rsid w:val="00463988"/>
    <w:rsid w:val="00463CC1"/>
    <w:rsid w:val="00463D6F"/>
    <w:rsid w:val="004640F0"/>
    <w:rsid w:val="00464135"/>
    <w:rsid w:val="00464384"/>
    <w:rsid w:val="0046443A"/>
    <w:rsid w:val="0046445D"/>
    <w:rsid w:val="00464731"/>
    <w:rsid w:val="00464771"/>
    <w:rsid w:val="0046497D"/>
    <w:rsid w:val="00464D2C"/>
    <w:rsid w:val="00464D4A"/>
    <w:rsid w:val="00464DD4"/>
    <w:rsid w:val="0046506C"/>
    <w:rsid w:val="00465225"/>
    <w:rsid w:val="0046523D"/>
    <w:rsid w:val="0046525D"/>
    <w:rsid w:val="004652E7"/>
    <w:rsid w:val="00465763"/>
    <w:rsid w:val="0046578E"/>
    <w:rsid w:val="004657AE"/>
    <w:rsid w:val="004657F1"/>
    <w:rsid w:val="004658C0"/>
    <w:rsid w:val="00465A5A"/>
    <w:rsid w:val="00465A81"/>
    <w:rsid w:val="00465E75"/>
    <w:rsid w:val="00465ED3"/>
    <w:rsid w:val="00466000"/>
    <w:rsid w:val="00466437"/>
    <w:rsid w:val="00466590"/>
    <w:rsid w:val="00466618"/>
    <w:rsid w:val="0046686D"/>
    <w:rsid w:val="00466ACD"/>
    <w:rsid w:val="00466B61"/>
    <w:rsid w:val="00466B90"/>
    <w:rsid w:val="00467197"/>
    <w:rsid w:val="0046723D"/>
    <w:rsid w:val="00467360"/>
    <w:rsid w:val="004673A7"/>
    <w:rsid w:val="00467928"/>
    <w:rsid w:val="004679F4"/>
    <w:rsid w:val="00467BC4"/>
    <w:rsid w:val="00467C86"/>
    <w:rsid w:val="00467E5A"/>
    <w:rsid w:val="00467FB3"/>
    <w:rsid w:val="00470043"/>
    <w:rsid w:val="0047020D"/>
    <w:rsid w:val="004702C4"/>
    <w:rsid w:val="004702E3"/>
    <w:rsid w:val="00470641"/>
    <w:rsid w:val="004706C1"/>
    <w:rsid w:val="00470C76"/>
    <w:rsid w:val="00470E92"/>
    <w:rsid w:val="00470F99"/>
    <w:rsid w:val="00471142"/>
    <w:rsid w:val="004714B9"/>
    <w:rsid w:val="004716D5"/>
    <w:rsid w:val="00471962"/>
    <w:rsid w:val="0047197E"/>
    <w:rsid w:val="00471DD9"/>
    <w:rsid w:val="00471EA1"/>
    <w:rsid w:val="00471F28"/>
    <w:rsid w:val="00471F38"/>
    <w:rsid w:val="0047201B"/>
    <w:rsid w:val="004721DB"/>
    <w:rsid w:val="00472337"/>
    <w:rsid w:val="00472380"/>
    <w:rsid w:val="004724ED"/>
    <w:rsid w:val="004725EC"/>
    <w:rsid w:val="0047287D"/>
    <w:rsid w:val="0047297B"/>
    <w:rsid w:val="00472A12"/>
    <w:rsid w:val="00472B34"/>
    <w:rsid w:val="00472BA8"/>
    <w:rsid w:val="00472E04"/>
    <w:rsid w:val="00472E3B"/>
    <w:rsid w:val="00473036"/>
    <w:rsid w:val="00473082"/>
    <w:rsid w:val="00473086"/>
    <w:rsid w:val="0047323B"/>
    <w:rsid w:val="00473431"/>
    <w:rsid w:val="0047345C"/>
    <w:rsid w:val="00473465"/>
    <w:rsid w:val="004736D5"/>
    <w:rsid w:val="00473763"/>
    <w:rsid w:val="004738AB"/>
    <w:rsid w:val="004738D3"/>
    <w:rsid w:val="00473C6A"/>
    <w:rsid w:val="0047401C"/>
    <w:rsid w:val="004740B2"/>
    <w:rsid w:val="00474208"/>
    <w:rsid w:val="00474343"/>
    <w:rsid w:val="00474665"/>
    <w:rsid w:val="00474772"/>
    <w:rsid w:val="004747DB"/>
    <w:rsid w:val="004748AB"/>
    <w:rsid w:val="00474930"/>
    <w:rsid w:val="00474986"/>
    <w:rsid w:val="004749BB"/>
    <w:rsid w:val="004749C1"/>
    <w:rsid w:val="004749CD"/>
    <w:rsid w:val="004749ED"/>
    <w:rsid w:val="00474A84"/>
    <w:rsid w:val="00474D32"/>
    <w:rsid w:val="00474D9B"/>
    <w:rsid w:val="00474DDB"/>
    <w:rsid w:val="00474F49"/>
    <w:rsid w:val="00475022"/>
    <w:rsid w:val="00475117"/>
    <w:rsid w:val="004752E7"/>
    <w:rsid w:val="00475331"/>
    <w:rsid w:val="00475447"/>
    <w:rsid w:val="00475512"/>
    <w:rsid w:val="00475653"/>
    <w:rsid w:val="004757A9"/>
    <w:rsid w:val="004758BB"/>
    <w:rsid w:val="00475924"/>
    <w:rsid w:val="00475930"/>
    <w:rsid w:val="00475A36"/>
    <w:rsid w:val="00475A47"/>
    <w:rsid w:val="00475AAD"/>
    <w:rsid w:val="00475B2A"/>
    <w:rsid w:val="00475FEA"/>
    <w:rsid w:val="0047608F"/>
    <w:rsid w:val="004762FA"/>
    <w:rsid w:val="0047643A"/>
    <w:rsid w:val="004764A9"/>
    <w:rsid w:val="0047665A"/>
    <w:rsid w:val="00476670"/>
    <w:rsid w:val="004766AA"/>
    <w:rsid w:val="00476877"/>
    <w:rsid w:val="004768B7"/>
    <w:rsid w:val="00476932"/>
    <w:rsid w:val="00476A8D"/>
    <w:rsid w:val="00476B8F"/>
    <w:rsid w:val="00476CA2"/>
    <w:rsid w:val="00476DF3"/>
    <w:rsid w:val="00476F11"/>
    <w:rsid w:val="004772D8"/>
    <w:rsid w:val="004772E9"/>
    <w:rsid w:val="00477309"/>
    <w:rsid w:val="00477438"/>
    <w:rsid w:val="004774B1"/>
    <w:rsid w:val="004775FD"/>
    <w:rsid w:val="0047762C"/>
    <w:rsid w:val="0047768F"/>
    <w:rsid w:val="0047799C"/>
    <w:rsid w:val="004779F1"/>
    <w:rsid w:val="00477DDF"/>
    <w:rsid w:val="00477E9A"/>
    <w:rsid w:val="0048000F"/>
    <w:rsid w:val="0048026D"/>
    <w:rsid w:val="00480692"/>
    <w:rsid w:val="00480757"/>
    <w:rsid w:val="004807FB"/>
    <w:rsid w:val="00480892"/>
    <w:rsid w:val="00480AAC"/>
    <w:rsid w:val="00480B64"/>
    <w:rsid w:val="00480C55"/>
    <w:rsid w:val="00480DE8"/>
    <w:rsid w:val="00480E5E"/>
    <w:rsid w:val="00480F2F"/>
    <w:rsid w:val="00481110"/>
    <w:rsid w:val="004811AE"/>
    <w:rsid w:val="004814FD"/>
    <w:rsid w:val="00481560"/>
    <w:rsid w:val="00481619"/>
    <w:rsid w:val="00481BB2"/>
    <w:rsid w:val="00481F00"/>
    <w:rsid w:val="00481F1E"/>
    <w:rsid w:val="00481FC5"/>
    <w:rsid w:val="0048206D"/>
    <w:rsid w:val="004820C3"/>
    <w:rsid w:val="004821F7"/>
    <w:rsid w:val="00482215"/>
    <w:rsid w:val="004824DE"/>
    <w:rsid w:val="004825F7"/>
    <w:rsid w:val="004827A1"/>
    <w:rsid w:val="00482872"/>
    <w:rsid w:val="004828BD"/>
    <w:rsid w:val="0048292E"/>
    <w:rsid w:val="00482D0D"/>
    <w:rsid w:val="00482DDA"/>
    <w:rsid w:val="004830DF"/>
    <w:rsid w:val="00483125"/>
    <w:rsid w:val="004831FF"/>
    <w:rsid w:val="0048331E"/>
    <w:rsid w:val="0048356E"/>
    <w:rsid w:val="0048357D"/>
    <w:rsid w:val="004837DA"/>
    <w:rsid w:val="00483848"/>
    <w:rsid w:val="004838DD"/>
    <w:rsid w:val="004839C8"/>
    <w:rsid w:val="004839D7"/>
    <w:rsid w:val="00483A04"/>
    <w:rsid w:val="00483D00"/>
    <w:rsid w:val="00483E5F"/>
    <w:rsid w:val="00483EFD"/>
    <w:rsid w:val="00483F19"/>
    <w:rsid w:val="00483FF3"/>
    <w:rsid w:val="00484078"/>
    <w:rsid w:val="00484289"/>
    <w:rsid w:val="004843A8"/>
    <w:rsid w:val="0048449F"/>
    <w:rsid w:val="00484613"/>
    <w:rsid w:val="00484A4D"/>
    <w:rsid w:val="00484C86"/>
    <w:rsid w:val="00484CFC"/>
    <w:rsid w:val="00484FA9"/>
    <w:rsid w:val="0048501E"/>
    <w:rsid w:val="0048516C"/>
    <w:rsid w:val="0048527C"/>
    <w:rsid w:val="0048552B"/>
    <w:rsid w:val="004855EB"/>
    <w:rsid w:val="004858B1"/>
    <w:rsid w:val="00485AF0"/>
    <w:rsid w:val="00485C50"/>
    <w:rsid w:val="00486067"/>
    <w:rsid w:val="004861F9"/>
    <w:rsid w:val="004864AE"/>
    <w:rsid w:val="00486721"/>
    <w:rsid w:val="0048678E"/>
    <w:rsid w:val="00486798"/>
    <w:rsid w:val="0048692C"/>
    <w:rsid w:val="00486A8D"/>
    <w:rsid w:val="00486BFC"/>
    <w:rsid w:val="00486D18"/>
    <w:rsid w:val="00486EF9"/>
    <w:rsid w:val="00486FAA"/>
    <w:rsid w:val="00487041"/>
    <w:rsid w:val="0048706D"/>
    <w:rsid w:val="00487258"/>
    <w:rsid w:val="0048725C"/>
    <w:rsid w:val="0048747D"/>
    <w:rsid w:val="0048754C"/>
    <w:rsid w:val="004875BA"/>
    <w:rsid w:val="00487714"/>
    <w:rsid w:val="004877B2"/>
    <w:rsid w:val="00487B4E"/>
    <w:rsid w:val="00487F0E"/>
    <w:rsid w:val="00487F8D"/>
    <w:rsid w:val="00490307"/>
    <w:rsid w:val="004903DA"/>
    <w:rsid w:val="004904E6"/>
    <w:rsid w:val="0049078D"/>
    <w:rsid w:val="004909F4"/>
    <w:rsid w:val="00490B42"/>
    <w:rsid w:val="00490BEE"/>
    <w:rsid w:val="00490CC0"/>
    <w:rsid w:val="00491148"/>
    <w:rsid w:val="004913CD"/>
    <w:rsid w:val="0049158F"/>
    <w:rsid w:val="00491696"/>
    <w:rsid w:val="00491717"/>
    <w:rsid w:val="00491908"/>
    <w:rsid w:val="00491A05"/>
    <w:rsid w:val="00491A32"/>
    <w:rsid w:val="00491DAA"/>
    <w:rsid w:val="00491DAB"/>
    <w:rsid w:val="00491ECA"/>
    <w:rsid w:val="00492009"/>
    <w:rsid w:val="00492023"/>
    <w:rsid w:val="00492026"/>
    <w:rsid w:val="0049218A"/>
    <w:rsid w:val="004926D5"/>
    <w:rsid w:val="00492953"/>
    <w:rsid w:val="004929DC"/>
    <w:rsid w:val="00492BCA"/>
    <w:rsid w:val="00492C0C"/>
    <w:rsid w:val="00492F05"/>
    <w:rsid w:val="00492F4F"/>
    <w:rsid w:val="00492FEA"/>
    <w:rsid w:val="00493075"/>
    <w:rsid w:val="00493178"/>
    <w:rsid w:val="0049337B"/>
    <w:rsid w:val="004934EE"/>
    <w:rsid w:val="004936B7"/>
    <w:rsid w:val="004937CB"/>
    <w:rsid w:val="004937E1"/>
    <w:rsid w:val="00493825"/>
    <w:rsid w:val="004939DA"/>
    <w:rsid w:val="00493A74"/>
    <w:rsid w:val="00493C33"/>
    <w:rsid w:val="00493C88"/>
    <w:rsid w:val="00493DAD"/>
    <w:rsid w:val="00493E14"/>
    <w:rsid w:val="00493EF1"/>
    <w:rsid w:val="0049406C"/>
    <w:rsid w:val="004942AF"/>
    <w:rsid w:val="004942F5"/>
    <w:rsid w:val="004945A7"/>
    <w:rsid w:val="00494662"/>
    <w:rsid w:val="0049467B"/>
    <w:rsid w:val="004946DE"/>
    <w:rsid w:val="0049488F"/>
    <w:rsid w:val="00494899"/>
    <w:rsid w:val="004949B1"/>
    <w:rsid w:val="00494B67"/>
    <w:rsid w:val="00495027"/>
    <w:rsid w:val="0049505D"/>
    <w:rsid w:val="0049510F"/>
    <w:rsid w:val="004951ED"/>
    <w:rsid w:val="00495277"/>
    <w:rsid w:val="0049538C"/>
    <w:rsid w:val="0049542E"/>
    <w:rsid w:val="004954A3"/>
    <w:rsid w:val="00495517"/>
    <w:rsid w:val="00495537"/>
    <w:rsid w:val="0049568C"/>
    <w:rsid w:val="004956D1"/>
    <w:rsid w:val="00495856"/>
    <w:rsid w:val="00495893"/>
    <w:rsid w:val="00495AC9"/>
    <w:rsid w:val="00495CC3"/>
    <w:rsid w:val="00495F2B"/>
    <w:rsid w:val="00496090"/>
    <w:rsid w:val="00496361"/>
    <w:rsid w:val="00496491"/>
    <w:rsid w:val="004965E8"/>
    <w:rsid w:val="00496648"/>
    <w:rsid w:val="0049687F"/>
    <w:rsid w:val="00496A39"/>
    <w:rsid w:val="00496ABC"/>
    <w:rsid w:val="00496B2A"/>
    <w:rsid w:val="00496F91"/>
    <w:rsid w:val="004970BC"/>
    <w:rsid w:val="004970DB"/>
    <w:rsid w:val="00497217"/>
    <w:rsid w:val="00497259"/>
    <w:rsid w:val="00497305"/>
    <w:rsid w:val="00497394"/>
    <w:rsid w:val="00497531"/>
    <w:rsid w:val="004975D8"/>
    <w:rsid w:val="0049781F"/>
    <w:rsid w:val="00497A50"/>
    <w:rsid w:val="00497A9A"/>
    <w:rsid w:val="00497AB8"/>
    <w:rsid w:val="00497D08"/>
    <w:rsid w:val="004A011D"/>
    <w:rsid w:val="004A0345"/>
    <w:rsid w:val="004A03C2"/>
    <w:rsid w:val="004A04D5"/>
    <w:rsid w:val="004A053B"/>
    <w:rsid w:val="004A05CE"/>
    <w:rsid w:val="004A0670"/>
    <w:rsid w:val="004A08DD"/>
    <w:rsid w:val="004A0C32"/>
    <w:rsid w:val="004A0C75"/>
    <w:rsid w:val="004A0DA3"/>
    <w:rsid w:val="004A10E9"/>
    <w:rsid w:val="004A110C"/>
    <w:rsid w:val="004A11D3"/>
    <w:rsid w:val="004A11E1"/>
    <w:rsid w:val="004A128D"/>
    <w:rsid w:val="004A13BD"/>
    <w:rsid w:val="004A145F"/>
    <w:rsid w:val="004A15E2"/>
    <w:rsid w:val="004A163B"/>
    <w:rsid w:val="004A16F1"/>
    <w:rsid w:val="004A189C"/>
    <w:rsid w:val="004A19F8"/>
    <w:rsid w:val="004A1A69"/>
    <w:rsid w:val="004A1AEA"/>
    <w:rsid w:val="004A1B79"/>
    <w:rsid w:val="004A1F3E"/>
    <w:rsid w:val="004A1F90"/>
    <w:rsid w:val="004A2056"/>
    <w:rsid w:val="004A21A1"/>
    <w:rsid w:val="004A2269"/>
    <w:rsid w:val="004A22A7"/>
    <w:rsid w:val="004A22E8"/>
    <w:rsid w:val="004A2444"/>
    <w:rsid w:val="004A2467"/>
    <w:rsid w:val="004A24FA"/>
    <w:rsid w:val="004A296C"/>
    <w:rsid w:val="004A2992"/>
    <w:rsid w:val="004A2BB5"/>
    <w:rsid w:val="004A2C2E"/>
    <w:rsid w:val="004A2C40"/>
    <w:rsid w:val="004A2C96"/>
    <w:rsid w:val="004A2F15"/>
    <w:rsid w:val="004A2F75"/>
    <w:rsid w:val="004A30D0"/>
    <w:rsid w:val="004A3152"/>
    <w:rsid w:val="004A31A2"/>
    <w:rsid w:val="004A3262"/>
    <w:rsid w:val="004A34B4"/>
    <w:rsid w:val="004A390D"/>
    <w:rsid w:val="004A3961"/>
    <w:rsid w:val="004A3A22"/>
    <w:rsid w:val="004A3AC3"/>
    <w:rsid w:val="004A3F1C"/>
    <w:rsid w:val="004A41C8"/>
    <w:rsid w:val="004A45E0"/>
    <w:rsid w:val="004A45FA"/>
    <w:rsid w:val="004A46A8"/>
    <w:rsid w:val="004A480E"/>
    <w:rsid w:val="004A4948"/>
    <w:rsid w:val="004A4A1F"/>
    <w:rsid w:val="004A4CFB"/>
    <w:rsid w:val="004A4E09"/>
    <w:rsid w:val="004A50BA"/>
    <w:rsid w:val="004A510F"/>
    <w:rsid w:val="004A5177"/>
    <w:rsid w:val="004A53A6"/>
    <w:rsid w:val="004A54A8"/>
    <w:rsid w:val="004A54BA"/>
    <w:rsid w:val="004A56A2"/>
    <w:rsid w:val="004A57F4"/>
    <w:rsid w:val="004A5944"/>
    <w:rsid w:val="004A59CD"/>
    <w:rsid w:val="004A5A74"/>
    <w:rsid w:val="004A5AC5"/>
    <w:rsid w:val="004A5B10"/>
    <w:rsid w:val="004A5BB4"/>
    <w:rsid w:val="004A5BE8"/>
    <w:rsid w:val="004A5C50"/>
    <w:rsid w:val="004A6045"/>
    <w:rsid w:val="004A634A"/>
    <w:rsid w:val="004A64C5"/>
    <w:rsid w:val="004A6696"/>
    <w:rsid w:val="004A687C"/>
    <w:rsid w:val="004A6998"/>
    <w:rsid w:val="004A69AD"/>
    <w:rsid w:val="004A6A07"/>
    <w:rsid w:val="004A6A0C"/>
    <w:rsid w:val="004A6C01"/>
    <w:rsid w:val="004A6DAA"/>
    <w:rsid w:val="004A6DAB"/>
    <w:rsid w:val="004A6DBD"/>
    <w:rsid w:val="004A6DE8"/>
    <w:rsid w:val="004A6E53"/>
    <w:rsid w:val="004A6FCE"/>
    <w:rsid w:val="004A717E"/>
    <w:rsid w:val="004A7216"/>
    <w:rsid w:val="004A73FE"/>
    <w:rsid w:val="004A75D0"/>
    <w:rsid w:val="004A75D3"/>
    <w:rsid w:val="004A7732"/>
    <w:rsid w:val="004A7962"/>
    <w:rsid w:val="004A7CEF"/>
    <w:rsid w:val="004A7D7F"/>
    <w:rsid w:val="004A7DB1"/>
    <w:rsid w:val="004A7DE2"/>
    <w:rsid w:val="004A7FFB"/>
    <w:rsid w:val="004B0194"/>
    <w:rsid w:val="004B02C0"/>
    <w:rsid w:val="004B042E"/>
    <w:rsid w:val="004B07B6"/>
    <w:rsid w:val="004B08BD"/>
    <w:rsid w:val="004B0B6A"/>
    <w:rsid w:val="004B0B99"/>
    <w:rsid w:val="004B0BC2"/>
    <w:rsid w:val="004B0F45"/>
    <w:rsid w:val="004B1088"/>
    <w:rsid w:val="004B11C1"/>
    <w:rsid w:val="004B11FB"/>
    <w:rsid w:val="004B1202"/>
    <w:rsid w:val="004B1234"/>
    <w:rsid w:val="004B12C8"/>
    <w:rsid w:val="004B1422"/>
    <w:rsid w:val="004B146C"/>
    <w:rsid w:val="004B190C"/>
    <w:rsid w:val="004B1C7E"/>
    <w:rsid w:val="004B1C7F"/>
    <w:rsid w:val="004B1D2D"/>
    <w:rsid w:val="004B1F05"/>
    <w:rsid w:val="004B1F26"/>
    <w:rsid w:val="004B20C0"/>
    <w:rsid w:val="004B2746"/>
    <w:rsid w:val="004B27BD"/>
    <w:rsid w:val="004B2996"/>
    <w:rsid w:val="004B2B50"/>
    <w:rsid w:val="004B2D69"/>
    <w:rsid w:val="004B2E88"/>
    <w:rsid w:val="004B2F56"/>
    <w:rsid w:val="004B304B"/>
    <w:rsid w:val="004B31FB"/>
    <w:rsid w:val="004B3630"/>
    <w:rsid w:val="004B36FC"/>
    <w:rsid w:val="004B38DB"/>
    <w:rsid w:val="004B3A19"/>
    <w:rsid w:val="004B3CE6"/>
    <w:rsid w:val="004B3D50"/>
    <w:rsid w:val="004B3DF1"/>
    <w:rsid w:val="004B424E"/>
    <w:rsid w:val="004B4340"/>
    <w:rsid w:val="004B43F0"/>
    <w:rsid w:val="004B4545"/>
    <w:rsid w:val="004B456B"/>
    <w:rsid w:val="004B4581"/>
    <w:rsid w:val="004B45DF"/>
    <w:rsid w:val="004B45EC"/>
    <w:rsid w:val="004B469C"/>
    <w:rsid w:val="004B469F"/>
    <w:rsid w:val="004B48F9"/>
    <w:rsid w:val="004B494B"/>
    <w:rsid w:val="004B49D5"/>
    <w:rsid w:val="004B4CB5"/>
    <w:rsid w:val="004B4D17"/>
    <w:rsid w:val="004B4EC1"/>
    <w:rsid w:val="004B4F3F"/>
    <w:rsid w:val="004B4F4E"/>
    <w:rsid w:val="004B4FC5"/>
    <w:rsid w:val="004B500C"/>
    <w:rsid w:val="004B516E"/>
    <w:rsid w:val="004B537B"/>
    <w:rsid w:val="004B539B"/>
    <w:rsid w:val="004B54AC"/>
    <w:rsid w:val="004B56DC"/>
    <w:rsid w:val="004B5700"/>
    <w:rsid w:val="004B57F7"/>
    <w:rsid w:val="004B5A97"/>
    <w:rsid w:val="004B5B42"/>
    <w:rsid w:val="004B5D49"/>
    <w:rsid w:val="004B5D4D"/>
    <w:rsid w:val="004B5D52"/>
    <w:rsid w:val="004B5DBF"/>
    <w:rsid w:val="004B5DCC"/>
    <w:rsid w:val="004B6085"/>
    <w:rsid w:val="004B6390"/>
    <w:rsid w:val="004B64F3"/>
    <w:rsid w:val="004B6522"/>
    <w:rsid w:val="004B678B"/>
    <w:rsid w:val="004B68A4"/>
    <w:rsid w:val="004B6A37"/>
    <w:rsid w:val="004B6B00"/>
    <w:rsid w:val="004B6C10"/>
    <w:rsid w:val="004B6C3F"/>
    <w:rsid w:val="004B6C8C"/>
    <w:rsid w:val="004B6CD2"/>
    <w:rsid w:val="004B6D0F"/>
    <w:rsid w:val="004B6D17"/>
    <w:rsid w:val="004B6D1C"/>
    <w:rsid w:val="004B6EC5"/>
    <w:rsid w:val="004B6EF5"/>
    <w:rsid w:val="004B7057"/>
    <w:rsid w:val="004B7390"/>
    <w:rsid w:val="004B7761"/>
    <w:rsid w:val="004B77CE"/>
    <w:rsid w:val="004B7824"/>
    <w:rsid w:val="004B7B4B"/>
    <w:rsid w:val="004B7C36"/>
    <w:rsid w:val="004B7D9A"/>
    <w:rsid w:val="004B7DF4"/>
    <w:rsid w:val="004B7F79"/>
    <w:rsid w:val="004C006D"/>
    <w:rsid w:val="004C0404"/>
    <w:rsid w:val="004C04DF"/>
    <w:rsid w:val="004C05E6"/>
    <w:rsid w:val="004C097D"/>
    <w:rsid w:val="004C0A74"/>
    <w:rsid w:val="004C0BA9"/>
    <w:rsid w:val="004C0C48"/>
    <w:rsid w:val="004C0C53"/>
    <w:rsid w:val="004C0D96"/>
    <w:rsid w:val="004C0E50"/>
    <w:rsid w:val="004C0EFF"/>
    <w:rsid w:val="004C103C"/>
    <w:rsid w:val="004C1042"/>
    <w:rsid w:val="004C1083"/>
    <w:rsid w:val="004C1144"/>
    <w:rsid w:val="004C1200"/>
    <w:rsid w:val="004C15A7"/>
    <w:rsid w:val="004C161F"/>
    <w:rsid w:val="004C164B"/>
    <w:rsid w:val="004C173A"/>
    <w:rsid w:val="004C1800"/>
    <w:rsid w:val="004C19CE"/>
    <w:rsid w:val="004C1EEC"/>
    <w:rsid w:val="004C2426"/>
    <w:rsid w:val="004C2680"/>
    <w:rsid w:val="004C2866"/>
    <w:rsid w:val="004C2868"/>
    <w:rsid w:val="004C2DF0"/>
    <w:rsid w:val="004C3074"/>
    <w:rsid w:val="004C3221"/>
    <w:rsid w:val="004C3236"/>
    <w:rsid w:val="004C3262"/>
    <w:rsid w:val="004C3508"/>
    <w:rsid w:val="004C356C"/>
    <w:rsid w:val="004C3668"/>
    <w:rsid w:val="004C375F"/>
    <w:rsid w:val="004C383C"/>
    <w:rsid w:val="004C3B3D"/>
    <w:rsid w:val="004C3D9B"/>
    <w:rsid w:val="004C3E2B"/>
    <w:rsid w:val="004C3ED6"/>
    <w:rsid w:val="004C3F1A"/>
    <w:rsid w:val="004C3FE8"/>
    <w:rsid w:val="004C406D"/>
    <w:rsid w:val="004C42BC"/>
    <w:rsid w:val="004C4335"/>
    <w:rsid w:val="004C44DE"/>
    <w:rsid w:val="004C455F"/>
    <w:rsid w:val="004C4714"/>
    <w:rsid w:val="004C48A6"/>
    <w:rsid w:val="004C48BC"/>
    <w:rsid w:val="004C4DA8"/>
    <w:rsid w:val="004C5195"/>
    <w:rsid w:val="004C5266"/>
    <w:rsid w:val="004C56FF"/>
    <w:rsid w:val="004C5738"/>
    <w:rsid w:val="004C577A"/>
    <w:rsid w:val="004C5963"/>
    <w:rsid w:val="004C5C2F"/>
    <w:rsid w:val="004C5C5F"/>
    <w:rsid w:val="004C5D4E"/>
    <w:rsid w:val="004C5D78"/>
    <w:rsid w:val="004C5DE5"/>
    <w:rsid w:val="004C5ED7"/>
    <w:rsid w:val="004C6137"/>
    <w:rsid w:val="004C650C"/>
    <w:rsid w:val="004C65F2"/>
    <w:rsid w:val="004C696E"/>
    <w:rsid w:val="004C6AD9"/>
    <w:rsid w:val="004C6C9F"/>
    <w:rsid w:val="004C6DDF"/>
    <w:rsid w:val="004C6EAA"/>
    <w:rsid w:val="004C6F24"/>
    <w:rsid w:val="004C7002"/>
    <w:rsid w:val="004C72EB"/>
    <w:rsid w:val="004C7502"/>
    <w:rsid w:val="004C75EB"/>
    <w:rsid w:val="004C7639"/>
    <w:rsid w:val="004C763E"/>
    <w:rsid w:val="004C76F6"/>
    <w:rsid w:val="004C79CF"/>
    <w:rsid w:val="004C7C64"/>
    <w:rsid w:val="004C7EF2"/>
    <w:rsid w:val="004D010A"/>
    <w:rsid w:val="004D0223"/>
    <w:rsid w:val="004D0229"/>
    <w:rsid w:val="004D0238"/>
    <w:rsid w:val="004D04D4"/>
    <w:rsid w:val="004D06A0"/>
    <w:rsid w:val="004D0775"/>
    <w:rsid w:val="004D086F"/>
    <w:rsid w:val="004D098E"/>
    <w:rsid w:val="004D0AF2"/>
    <w:rsid w:val="004D0BA1"/>
    <w:rsid w:val="004D0CB8"/>
    <w:rsid w:val="004D0E95"/>
    <w:rsid w:val="004D10D4"/>
    <w:rsid w:val="004D1147"/>
    <w:rsid w:val="004D1494"/>
    <w:rsid w:val="004D153F"/>
    <w:rsid w:val="004D161D"/>
    <w:rsid w:val="004D1629"/>
    <w:rsid w:val="004D178D"/>
    <w:rsid w:val="004D17ED"/>
    <w:rsid w:val="004D18CB"/>
    <w:rsid w:val="004D1A48"/>
    <w:rsid w:val="004D1E12"/>
    <w:rsid w:val="004D1F5D"/>
    <w:rsid w:val="004D20E0"/>
    <w:rsid w:val="004D227C"/>
    <w:rsid w:val="004D259D"/>
    <w:rsid w:val="004D27AE"/>
    <w:rsid w:val="004D2829"/>
    <w:rsid w:val="004D287C"/>
    <w:rsid w:val="004D29DF"/>
    <w:rsid w:val="004D2A8A"/>
    <w:rsid w:val="004D2AD7"/>
    <w:rsid w:val="004D2DD4"/>
    <w:rsid w:val="004D2E7A"/>
    <w:rsid w:val="004D2EC0"/>
    <w:rsid w:val="004D2F51"/>
    <w:rsid w:val="004D314D"/>
    <w:rsid w:val="004D3308"/>
    <w:rsid w:val="004D33FD"/>
    <w:rsid w:val="004D3408"/>
    <w:rsid w:val="004D3433"/>
    <w:rsid w:val="004D34C8"/>
    <w:rsid w:val="004D3576"/>
    <w:rsid w:val="004D3590"/>
    <w:rsid w:val="004D3593"/>
    <w:rsid w:val="004D3A57"/>
    <w:rsid w:val="004D3AC4"/>
    <w:rsid w:val="004D3B29"/>
    <w:rsid w:val="004D3B2D"/>
    <w:rsid w:val="004D3D4E"/>
    <w:rsid w:val="004D3FFB"/>
    <w:rsid w:val="004D40A8"/>
    <w:rsid w:val="004D4141"/>
    <w:rsid w:val="004D45DC"/>
    <w:rsid w:val="004D46F0"/>
    <w:rsid w:val="004D498B"/>
    <w:rsid w:val="004D4C81"/>
    <w:rsid w:val="004D4C8A"/>
    <w:rsid w:val="004D4CA8"/>
    <w:rsid w:val="004D4D9F"/>
    <w:rsid w:val="004D4DC0"/>
    <w:rsid w:val="004D4E8B"/>
    <w:rsid w:val="004D4F56"/>
    <w:rsid w:val="004D4F6E"/>
    <w:rsid w:val="004D529F"/>
    <w:rsid w:val="004D52A3"/>
    <w:rsid w:val="004D5337"/>
    <w:rsid w:val="004D546C"/>
    <w:rsid w:val="004D5558"/>
    <w:rsid w:val="004D5EFC"/>
    <w:rsid w:val="004D5F76"/>
    <w:rsid w:val="004D6079"/>
    <w:rsid w:val="004D60FF"/>
    <w:rsid w:val="004D6333"/>
    <w:rsid w:val="004D648A"/>
    <w:rsid w:val="004D655F"/>
    <w:rsid w:val="004D65B5"/>
    <w:rsid w:val="004D6607"/>
    <w:rsid w:val="004D671F"/>
    <w:rsid w:val="004D6816"/>
    <w:rsid w:val="004D6969"/>
    <w:rsid w:val="004D6AAC"/>
    <w:rsid w:val="004D6B5B"/>
    <w:rsid w:val="004D701F"/>
    <w:rsid w:val="004D7513"/>
    <w:rsid w:val="004D76E1"/>
    <w:rsid w:val="004D79B1"/>
    <w:rsid w:val="004D7AC6"/>
    <w:rsid w:val="004D7AE1"/>
    <w:rsid w:val="004D7BC0"/>
    <w:rsid w:val="004D7D03"/>
    <w:rsid w:val="004D7D3C"/>
    <w:rsid w:val="004D7D62"/>
    <w:rsid w:val="004E034B"/>
    <w:rsid w:val="004E04D3"/>
    <w:rsid w:val="004E06CC"/>
    <w:rsid w:val="004E06D0"/>
    <w:rsid w:val="004E0BBF"/>
    <w:rsid w:val="004E0D75"/>
    <w:rsid w:val="004E0E96"/>
    <w:rsid w:val="004E13A9"/>
    <w:rsid w:val="004E1584"/>
    <w:rsid w:val="004E160C"/>
    <w:rsid w:val="004E17F0"/>
    <w:rsid w:val="004E188C"/>
    <w:rsid w:val="004E18BD"/>
    <w:rsid w:val="004E1975"/>
    <w:rsid w:val="004E1AC1"/>
    <w:rsid w:val="004E1AF7"/>
    <w:rsid w:val="004E1BBD"/>
    <w:rsid w:val="004E1CDE"/>
    <w:rsid w:val="004E1D9A"/>
    <w:rsid w:val="004E1FAF"/>
    <w:rsid w:val="004E21D5"/>
    <w:rsid w:val="004E21D8"/>
    <w:rsid w:val="004E2328"/>
    <w:rsid w:val="004E24B3"/>
    <w:rsid w:val="004E24B8"/>
    <w:rsid w:val="004E24BD"/>
    <w:rsid w:val="004E250A"/>
    <w:rsid w:val="004E293E"/>
    <w:rsid w:val="004E2943"/>
    <w:rsid w:val="004E2B4C"/>
    <w:rsid w:val="004E2BD2"/>
    <w:rsid w:val="004E3020"/>
    <w:rsid w:val="004E32D1"/>
    <w:rsid w:val="004E33F9"/>
    <w:rsid w:val="004E346B"/>
    <w:rsid w:val="004E3678"/>
    <w:rsid w:val="004E3968"/>
    <w:rsid w:val="004E397B"/>
    <w:rsid w:val="004E39B5"/>
    <w:rsid w:val="004E3A38"/>
    <w:rsid w:val="004E3EEA"/>
    <w:rsid w:val="004E40D4"/>
    <w:rsid w:val="004E4129"/>
    <w:rsid w:val="004E41EB"/>
    <w:rsid w:val="004E41F0"/>
    <w:rsid w:val="004E4419"/>
    <w:rsid w:val="004E449E"/>
    <w:rsid w:val="004E46AD"/>
    <w:rsid w:val="004E4912"/>
    <w:rsid w:val="004E4B6F"/>
    <w:rsid w:val="004E5073"/>
    <w:rsid w:val="004E50C9"/>
    <w:rsid w:val="004E5209"/>
    <w:rsid w:val="004E52AF"/>
    <w:rsid w:val="004E557C"/>
    <w:rsid w:val="004E565C"/>
    <w:rsid w:val="004E5832"/>
    <w:rsid w:val="004E5A0D"/>
    <w:rsid w:val="004E5A45"/>
    <w:rsid w:val="004E5C32"/>
    <w:rsid w:val="004E5D4F"/>
    <w:rsid w:val="004E6064"/>
    <w:rsid w:val="004E6089"/>
    <w:rsid w:val="004E623D"/>
    <w:rsid w:val="004E628A"/>
    <w:rsid w:val="004E62C6"/>
    <w:rsid w:val="004E637B"/>
    <w:rsid w:val="004E6448"/>
    <w:rsid w:val="004E6598"/>
    <w:rsid w:val="004E6772"/>
    <w:rsid w:val="004E6C6B"/>
    <w:rsid w:val="004E6F6D"/>
    <w:rsid w:val="004E7093"/>
    <w:rsid w:val="004E7322"/>
    <w:rsid w:val="004E7553"/>
    <w:rsid w:val="004E76E5"/>
    <w:rsid w:val="004E7747"/>
    <w:rsid w:val="004E7A33"/>
    <w:rsid w:val="004E7A75"/>
    <w:rsid w:val="004E7CD6"/>
    <w:rsid w:val="004E7D19"/>
    <w:rsid w:val="004F0141"/>
    <w:rsid w:val="004F0494"/>
    <w:rsid w:val="004F05E6"/>
    <w:rsid w:val="004F0845"/>
    <w:rsid w:val="004F0855"/>
    <w:rsid w:val="004F08FE"/>
    <w:rsid w:val="004F0941"/>
    <w:rsid w:val="004F0A70"/>
    <w:rsid w:val="004F0AF8"/>
    <w:rsid w:val="004F0D25"/>
    <w:rsid w:val="004F129E"/>
    <w:rsid w:val="004F13A1"/>
    <w:rsid w:val="004F14B6"/>
    <w:rsid w:val="004F164D"/>
    <w:rsid w:val="004F177F"/>
    <w:rsid w:val="004F19F4"/>
    <w:rsid w:val="004F1B57"/>
    <w:rsid w:val="004F1C09"/>
    <w:rsid w:val="004F1C9B"/>
    <w:rsid w:val="004F1DCC"/>
    <w:rsid w:val="004F20CE"/>
    <w:rsid w:val="004F2159"/>
    <w:rsid w:val="004F21EB"/>
    <w:rsid w:val="004F2334"/>
    <w:rsid w:val="004F23FC"/>
    <w:rsid w:val="004F24D0"/>
    <w:rsid w:val="004F250C"/>
    <w:rsid w:val="004F2577"/>
    <w:rsid w:val="004F29FA"/>
    <w:rsid w:val="004F2D2A"/>
    <w:rsid w:val="004F2EE5"/>
    <w:rsid w:val="004F2FC0"/>
    <w:rsid w:val="004F2FD0"/>
    <w:rsid w:val="004F3186"/>
    <w:rsid w:val="004F320E"/>
    <w:rsid w:val="004F323D"/>
    <w:rsid w:val="004F3498"/>
    <w:rsid w:val="004F34BD"/>
    <w:rsid w:val="004F35FA"/>
    <w:rsid w:val="004F3632"/>
    <w:rsid w:val="004F364E"/>
    <w:rsid w:val="004F37A7"/>
    <w:rsid w:val="004F3EEB"/>
    <w:rsid w:val="004F3F0E"/>
    <w:rsid w:val="004F401E"/>
    <w:rsid w:val="004F41E3"/>
    <w:rsid w:val="004F46DB"/>
    <w:rsid w:val="004F4767"/>
    <w:rsid w:val="004F483D"/>
    <w:rsid w:val="004F48BD"/>
    <w:rsid w:val="004F48FA"/>
    <w:rsid w:val="004F4ACF"/>
    <w:rsid w:val="004F4B06"/>
    <w:rsid w:val="004F4BE7"/>
    <w:rsid w:val="004F4C0E"/>
    <w:rsid w:val="004F4C75"/>
    <w:rsid w:val="004F4D58"/>
    <w:rsid w:val="004F4FA0"/>
    <w:rsid w:val="004F516D"/>
    <w:rsid w:val="004F52FA"/>
    <w:rsid w:val="004F5D97"/>
    <w:rsid w:val="004F604D"/>
    <w:rsid w:val="004F62CB"/>
    <w:rsid w:val="004F632E"/>
    <w:rsid w:val="004F64F5"/>
    <w:rsid w:val="004F65ED"/>
    <w:rsid w:val="004F65FD"/>
    <w:rsid w:val="004F67B9"/>
    <w:rsid w:val="004F682E"/>
    <w:rsid w:val="004F6962"/>
    <w:rsid w:val="004F697A"/>
    <w:rsid w:val="004F6A75"/>
    <w:rsid w:val="004F6B25"/>
    <w:rsid w:val="004F6C10"/>
    <w:rsid w:val="004F6CAE"/>
    <w:rsid w:val="004F6D62"/>
    <w:rsid w:val="004F6E6D"/>
    <w:rsid w:val="004F6F28"/>
    <w:rsid w:val="004F7036"/>
    <w:rsid w:val="004F706F"/>
    <w:rsid w:val="004F7153"/>
    <w:rsid w:val="004F7347"/>
    <w:rsid w:val="004F739A"/>
    <w:rsid w:val="004F73D9"/>
    <w:rsid w:val="004F7492"/>
    <w:rsid w:val="004F74D3"/>
    <w:rsid w:val="004F7848"/>
    <w:rsid w:val="004F78A0"/>
    <w:rsid w:val="004F7991"/>
    <w:rsid w:val="004F79FD"/>
    <w:rsid w:val="004F7BBE"/>
    <w:rsid w:val="004F7D54"/>
    <w:rsid w:val="004F7D6E"/>
    <w:rsid w:val="004F99FC"/>
    <w:rsid w:val="00500077"/>
    <w:rsid w:val="0050013C"/>
    <w:rsid w:val="0050014B"/>
    <w:rsid w:val="00500197"/>
    <w:rsid w:val="00500245"/>
    <w:rsid w:val="005002BF"/>
    <w:rsid w:val="00500545"/>
    <w:rsid w:val="005005B4"/>
    <w:rsid w:val="00500A92"/>
    <w:rsid w:val="00500B47"/>
    <w:rsid w:val="00500D54"/>
    <w:rsid w:val="00500E82"/>
    <w:rsid w:val="00500FA1"/>
    <w:rsid w:val="0050125B"/>
    <w:rsid w:val="005012F1"/>
    <w:rsid w:val="0050162A"/>
    <w:rsid w:val="0050162F"/>
    <w:rsid w:val="005017F7"/>
    <w:rsid w:val="005019A3"/>
    <w:rsid w:val="005019EF"/>
    <w:rsid w:val="00501AE6"/>
    <w:rsid w:val="00501DB9"/>
    <w:rsid w:val="00501FB0"/>
    <w:rsid w:val="00502081"/>
    <w:rsid w:val="005020A8"/>
    <w:rsid w:val="005027B1"/>
    <w:rsid w:val="00502AAE"/>
    <w:rsid w:val="00502CD5"/>
    <w:rsid w:val="00502DFA"/>
    <w:rsid w:val="00502FC0"/>
    <w:rsid w:val="00502FF9"/>
    <w:rsid w:val="0050330A"/>
    <w:rsid w:val="00503361"/>
    <w:rsid w:val="005034B5"/>
    <w:rsid w:val="005034F0"/>
    <w:rsid w:val="0050350B"/>
    <w:rsid w:val="0050358F"/>
    <w:rsid w:val="0050362F"/>
    <w:rsid w:val="005037DE"/>
    <w:rsid w:val="005039FC"/>
    <w:rsid w:val="00503AFC"/>
    <w:rsid w:val="00503F23"/>
    <w:rsid w:val="00504048"/>
    <w:rsid w:val="00504082"/>
    <w:rsid w:val="005042E5"/>
    <w:rsid w:val="00504391"/>
    <w:rsid w:val="005043E0"/>
    <w:rsid w:val="0050484F"/>
    <w:rsid w:val="00504962"/>
    <w:rsid w:val="0050496E"/>
    <w:rsid w:val="00504B0A"/>
    <w:rsid w:val="00504C34"/>
    <w:rsid w:val="00504ED3"/>
    <w:rsid w:val="00504F46"/>
    <w:rsid w:val="00504F6C"/>
    <w:rsid w:val="0050538C"/>
    <w:rsid w:val="0050544B"/>
    <w:rsid w:val="0050548A"/>
    <w:rsid w:val="00505734"/>
    <w:rsid w:val="00505810"/>
    <w:rsid w:val="00505825"/>
    <w:rsid w:val="00505836"/>
    <w:rsid w:val="005058D4"/>
    <w:rsid w:val="00505A40"/>
    <w:rsid w:val="00505BC6"/>
    <w:rsid w:val="00505C94"/>
    <w:rsid w:val="00505FFD"/>
    <w:rsid w:val="005060F9"/>
    <w:rsid w:val="0050612F"/>
    <w:rsid w:val="00506154"/>
    <w:rsid w:val="00506407"/>
    <w:rsid w:val="0050651E"/>
    <w:rsid w:val="005066D7"/>
    <w:rsid w:val="0050689B"/>
    <w:rsid w:val="005068AF"/>
    <w:rsid w:val="005068FD"/>
    <w:rsid w:val="00506B5D"/>
    <w:rsid w:val="00506C42"/>
    <w:rsid w:val="00506CF0"/>
    <w:rsid w:val="00506F79"/>
    <w:rsid w:val="00506F97"/>
    <w:rsid w:val="005072C9"/>
    <w:rsid w:val="00507776"/>
    <w:rsid w:val="0050779A"/>
    <w:rsid w:val="00507D20"/>
    <w:rsid w:val="00507EF4"/>
    <w:rsid w:val="005101C9"/>
    <w:rsid w:val="0051026D"/>
    <w:rsid w:val="00510428"/>
    <w:rsid w:val="00510645"/>
    <w:rsid w:val="00510679"/>
    <w:rsid w:val="0051079C"/>
    <w:rsid w:val="0051084D"/>
    <w:rsid w:val="0051086E"/>
    <w:rsid w:val="00510A7C"/>
    <w:rsid w:val="00510E2E"/>
    <w:rsid w:val="00510EDE"/>
    <w:rsid w:val="00510F0B"/>
    <w:rsid w:val="005113A2"/>
    <w:rsid w:val="00511464"/>
    <w:rsid w:val="00511710"/>
    <w:rsid w:val="0051194B"/>
    <w:rsid w:val="00511C29"/>
    <w:rsid w:val="0051209E"/>
    <w:rsid w:val="0051215A"/>
    <w:rsid w:val="005121DD"/>
    <w:rsid w:val="0051235C"/>
    <w:rsid w:val="005123BB"/>
    <w:rsid w:val="0051242F"/>
    <w:rsid w:val="00512442"/>
    <w:rsid w:val="00512610"/>
    <w:rsid w:val="00512653"/>
    <w:rsid w:val="005127DE"/>
    <w:rsid w:val="00512DA5"/>
    <w:rsid w:val="00512F1A"/>
    <w:rsid w:val="0051304E"/>
    <w:rsid w:val="0051306E"/>
    <w:rsid w:val="00513147"/>
    <w:rsid w:val="0051334B"/>
    <w:rsid w:val="00513485"/>
    <w:rsid w:val="005134AA"/>
    <w:rsid w:val="0051354D"/>
    <w:rsid w:val="005138A4"/>
    <w:rsid w:val="005138EB"/>
    <w:rsid w:val="00513DDD"/>
    <w:rsid w:val="00513F04"/>
    <w:rsid w:val="00513F3E"/>
    <w:rsid w:val="005140B4"/>
    <w:rsid w:val="00514427"/>
    <w:rsid w:val="00514761"/>
    <w:rsid w:val="00514809"/>
    <w:rsid w:val="00514AA4"/>
    <w:rsid w:val="00514BB2"/>
    <w:rsid w:val="00514BE9"/>
    <w:rsid w:val="00514D78"/>
    <w:rsid w:val="00515269"/>
    <w:rsid w:val="0051527D"/>
    <w:rsid w:val="0051560A"/>
    <w:rsid w:val="005158B5"/>
    <w:rsid w:val="005158F3"/>
    <w:rsid w:val="00515989"/>
    <w:rsid w:val="00515AA1"/>
    <w:rsid w:val="00516226"/>
    <w:rsid w:val="005163A8"/>
    <w:rsid w:val="00516488"/>
    <w:rsid w:val="005167C2"/>
    <w:rsid w:val="00516868"/>
    <w:rsid w:val="00516C5F"/>
    <w:rsid w:val="00516D43"/>
    <w:rsid w:val="00516E29"/>
    <w:rsid w:val="00516EBA"/>
    <w:rsid w:val="00516F1F"/>
    <w:rsid w:val="005173BE"/>
    <w:rsid w:val="00517430"/>
    <w:rsid w:val="005174A8"/>
    <w:rsid w:val="0051753F"/>
    <w:rsid w:val="00517570"/>
    <w:rsid w:val="00517583"/>
    <w:rsid w:val="00517663"/>
    <w:rsid w:val="00517852"/>
    <w:rsid w:val="00517936"/>
    <w:rsid w:val="00517CFB"/>
    <w:rsid w:val="00517DA0"/>
    <w:rsid w:val="00517DFA"/>
    <w:rsid w:val="00517EC3"/>
    <w:rsid w:val="0052005E"/>
    <w:rsid w:val="005201BA"/>
    <w:rsid w:val="00520736"/>
    <w:rsid w:val="0052081E"/>
    <w:rsid w:val="00520847"/>
    <w:rsid w:val="00520883"/>
    <w:rsid w:val="00520B3F"/>
    <w:rsid w:val="00521011"/>
    <w:rsid w:val="0052131B"/>
    <w:rsid w:val="0052138D"/>
    <w:rsid w:val="00521634"/>
    <w:rsid w:val="00521686"/>
    <w:rsid w:val="005216D7"/>
    <w:rsid w:val="00521824"/>
    <w:rsid w:val="0052185E"/>
    <w:rsid w:val="00521879"/>
    <w:rsid w:val="00521903"/>
    <w:rsid w:val="005219CA"/>
    <w:rsid w:val="00521C96"/>
    <w:rsid w:val="00521D46"/>
    <w:rsid w:val="00521F03"/>
    <w:rsid w:val="00522033"/>
    <w:rsid w:val="00522148"/>
    <w:rsid w:val="00522294"/>
    <w:rsid w:val="005222CF"/>
    <w:rsid w:val="00522689"/>
    <w:rsid w:val="00522A5D"/>
    <w:rsid w:val="00522A98"/>
    <w:rsid w:val="00522B0F"/>
    <w:rsid w:val="00522C12"/>
    <w:rsid w:val="00522C3F"/>
    <w:rsid w:val="00522E29"/>
    <w:rsid w:val="00522E3C"/>
    <w:rsid w:val="00522EAF"/>
    <w:rsid w:val="00523096"/>
    <w:rsid w:val="0052310D"/>
    <w:rsid w:val="00523337"/>
    <w:rsid w:val="00523343"/>
    <w:rsid w:val="00523663"/>
    <w:rsid w:val="005237A7"/>
    <w:rsid w:val="00523826"/>
    <w:rsid w:val="005239B0"/>
    <w:rsid w:val="00523A28"/>
    <w:rsid w:val="00523A6E"/>
    <w:rsid w:val="00523BC3"/>
    <w:rsid w:val="00523C81"/>
    <w:rsid w:val="00523DA8"/>
    <w:rsid w:val="00523E0F"/>
    <w:rsid w:val="00523E4B"/>
    <w:rsid w:val="00523F57"/>
    <w:rsid w:val="0052402D"/>
    <w:rsid w:val="00524085"/>
    <w:rsid w:val="005240AA"/>
    <w:rsid w:val="00524142"/>
    <w:rsid w:val="00524228"/>
    <w:rsid w:val="005242B5"/>
    <w:rsid w:val="0052437F"/>
    <w:rsid w:val="005245AB"/>
    <w:rsid w:val="005245C5"/>
    <w:rsid w:val="005245DA"/>
    <w:rsid w:val="005247D5"/>
    <w:rsid w:val="0052483F"/>
    <w:rsid w:val="00524A1D"/>
    <w:rsid w:val="00524E44"/>
    <w:rsid w:val="00524E72"/>
    <w:rsid w:val="00524EB2"/>
    <w:rsid w:val="00524FB9"/>
    <w:rsid w:val="00525065"/>
    <w:rsid w:val="005251EC"/>
    <w:rsid w:val="0052523B"/>
    <w:rsid w:val="00525292"/>
    <w:rsid w:val="005252CF"/>
    <w:rsid w:val="00525308"/>
    <w:rsid w:val="00525316"/>
    <w:rsid w:val="005254CA"/>
    <w:rsid w:val="005254D2"/>
    <w:rsid w:val="0052552F"/>
    <w:rsid w:val="005256A2"/>
    <w:rsid w:val="0052571D"/>
    <w:rsid w:val="005258F7"/>
    <w:rsid w:val="005259B2"/>
    <w:rsid w:val="00525A11"/>
    <w:rsid w:val="00525A54"/>
    <w:rsid w:val="00525A61"/>
    <w:rsid w:val="00525AFE"/>
    <w:rsid w:val="00525D4C"/>
    <w:rsid w:val="00525D59"/>
    <w:rsid w:val="00525E43"/>
    <w:rsid w:val="00525F62"/>
    <w:rsid w:val="005260B8"/>
    <w:rsid w:val="0052654F"/>
    <w:rsid w:val="0052670A"/>
    <w:rsid w:val="00526B85"/>
    <w:rsid w:val="00526C89"/>
    <w:rsid w:val="00526CFC"/>
    <w:rsid w:val="005270E3"/>
    <w:rsid w:val="00527170"/>
    <w:rsid w:val="005276C5"/>
    <w:rsid w:val="00527781"/>
    <w:rsid w:val="005277C5"/>
    <w:rsid w:val="00527D15"/>
    <w:rsid w:val="00527DD5"/>
    <w:rsid w:val="00527E06"/>
    <w:rsid w:val="005300C2"/>
    <w:rsid w:val="005302BF"/>
    <w:rsid w:val="0053035B"/>
    <w:rsid w:val="005303D9"/>
    <w:rsid w:val="005303DF"/>
    <w:rsid w:val="005305F6"/>
    <w:rsid w:val="00530889"/>
    <w:rsid w:val="0053097B"/>
    <w:rsid w:val="00530A40"/>
    <w:rsid w:val="00530BAD"/>
    <w:rsid w:val="00530CC8"/>
    <w:rsid w:val="00530E1D"/>
    <w:rsid w:val="00530E4D"/>
    <w:rsid w:val="00530EC1"/>
    <w:rsid w:val="00530EEE"/>
    <w:rsid w:val="00530EFC"/>
    <w:rsid w:val="00530FB1"/>
    <w:rsid w:val="00531088"/>
    <w:rsid w:val="005312B5"/>
    <w:rsid w:val="00531336"/>
    <w:rsid w:val="005314AA"/>
    <w:rsid w:val="00531555"/>
    <w:rsid w:val="005315A2"/>
    <w:rsid w:val="00531724"/>
    <w:rsid w:val="005319D0"/>
    <w:rsid w:val="00531A74"/>
    <w:rsid w:val="00531C3D"/>
    <w:rsid w:val="00531E37"/>
    <w:rsid w:val="00531FD1"/>
    <w:rsid w:val="005322C4"/>
    <w:rsid w:val="00532447"/>
    <w:rsid w:val="0053246D"/>
    <w:rsid w:val="00532796"/>
    <w:rsid w:val="005327CA"/>
    <w:rsid w:val="00532818"/>
    <w:rsid w:val="00532BB5"/>
    <w:rsid w:val="00532BD2"/>
    <w:rsid w:val="00532D9C"/>
    <w:rsid w:val="005330AB"/>
    <w:rsid w:val="005331DA"/>
    <w:rsid w:val="00533306"/>
    <w:rsid w:val="0053333D"/>
    <w:rsid w:val="00533521"/>
    <w:rsid w:val="0053364E"/>
    <w:rsid w:val="00533891"/>
    <w:rsid w:val="00533A9A"/>
    <w:rsid w:val="00533AD4"/>
    <w:rsid w:val="00533EBD"/>
    <w:rsid w:val="00533ED4"/>
    <w:rsid w:val="00534195"/>
    <w:rsid w:val="005341A8"/>
    <w:rsid w:val="00534299"/>
    <w:rsid w:val="0053437F"/>
    <w:rsid w:val="00534482"/>
    <w:rsid w:val="005345E8"/>
    <w:rsid w:val="00534725"/>
    <w:rsid w:val="005348B6"/>
    <w:rsid w:val="005348C4"/>
    <w:rsid w:val="005349C9"/>
    <w:rsid w:val="00534A13"/>
    <w:rsid w:val="00534E4C"/>
    <w:rsid w:val="00534F6D"/>
    <w:rsid w:val="00534F96"/>
    <w:rsid w:val="0053529F"/>
    <w:rsid w:val="0053548B"/>
    <w:rsid w:val="0053569E"/>
    <w:rsid w:val="00535734"/>
    <w:rsid w:val="005358FE"/>
    <w:rsid w:val="00535ACC"/>
    <w:rsid w:val="00535CF7"/>
    <w:rsid w:val="00535DED"/>
    <w:rsid w:val="00535ED4"/>
    <w:rsid w:val="00535F73"/>
    <w:rsid w:val="00535FB8"/>
    <w:rsid w:val="00535FD2"/>
    <w:rsid w:val="005360A2"/>
    <w:rsid w:val="00536272"/>
    <w:rsid w:val="00536405"/>
    <w:rsid w:val="00536443"/>
    <w:rsid w:val="0053656F"/>
    <w:rsid w:val="005366AE"/>
    <w:rsid w:val="00536834"/>
    <w:rsid w:val="00536885"/>
    <w:rsid w:val="00536891"/>
    <w:rsid w:val="00536BA8"/>
    <w:rsid w:val="00536F5D"/>
    <w:rsid w:val="00537117"/>
    <w:rsid w:val="005372B5"/>
    <w:rsid w:val="005372E5"/>
    <w:rsid w:val="00537363"/>
    <w:rsid w:val="00537794"/>
    <w:rsid w:val="00537A02"/>
    <w:rsid w:val="00537A6C"/>
    <w:rsid w:val="00537B9C"/>
    <w:rsid w:val="00537C11"/>
    <w:rsid w:val="00537DE3"/>
    <w:rsid w:val="00537F63"/>
    <w:rsid w:val="00540769"/>
    <w:rsid w:val="005407D8"/>
    <w:rsid w:val="00540917"/>
    <w:rsid w:val="00540B28"/>
    <w:rsid w:val="00540BC4"/>
    <w:rsid w:val="00540D53"/>
    <w:rsid w:val="00540E08"/>
    <w:rsid w:val="0054115A"/>
    <w:rsid w:val="005413F3"/>
    <w:rsid w:val="005417AA"/>
    <w:rsid w:val="0054184A"/>
    <w:rsid w:val="005418CC"/>
    <w:rsid w:val="00541AD7"/>
    <w:rsid w:val="00541BE5"/>
    <w:rsid w:val="00541C90"/>
    <w:rsid w:val="00541CA8"/>
    <w:rsid w:val="0054206C"/>
    <w:rsid w:val="00542137"/>
    <w:rsid w:val="0054243B"/>
    <w:rsid w:val="005424DE"/>
    <w:rsid w:val="00542941"/>
    <w:rsid w:val="00542B21"/>
    <w:rsid w:val="00542BF8"/>
    <w:rsid w:val="00542BFC"/>
    <w:rsid w:val="00542F65"/>
    <w:rsid w:val="00543142"/>
    <w:rsid w:val="00543202"/>
    <w:rsid w:val="00543218"/>
    <w:rsid w:val="00543329"/>
    <w:rsid w:val="00543367"/>
    <w:rsid w:val="005433C7"/>
    <w:rsid w:val="00543539"/>
    <w:rsid w:val="005435C5"/>
    <w:rsid w:val="00543610"/>
    <w:rsid w:val="005438D3"/>
    <w:rsid w:val="00543938"/>
    <w:rsid w:val="00543B9F"/>
    <w:rsid w:val="00544244"/>
    <w:rsid w:val="00544479"/>
    <w:rsid w:val="00544511"/>
    <w:rsid w:val="0054471E"/>
    <w:rsid w:val="00544836"/>
    <w:rsid w:val="00544873"/>
    <w:rsid w:val="00544A14"/>
    <w:rsid w:val="00544C5B"/>
    <w:rsid w:val="00544CB7"/>
    <w:rsid w:val="00544D56"/>
    <w:rsid w:val="00544E6C"/>
    <w:rsid w:val="005451C2"/>
    <w:rsid w:val="00545394"/>
    <w:rsid w:val="005454C4"/>
    <w:rsid w:val="00545659"/>
    <w:rsid w:val="00545998"/>
    <w:rsid w:val="00545C2E"/>
    <w:rsid w:val="00545C97"/>
    <w:rsid w:val="00545DB7"/>
    <w:rsid w:val="00545DE3"/>
    <w:rsid w:val="00545F2D"/>
    <w:rsid w:val="00546150"/>
    <w:rsid w:val="00546298"/>
    <w:rsid w:val="0054647D"/>
    <w:rsid w:val="005468A2"/>
    <w:rsid w:val="005468D6"/>
    <w:rsid w:val="00546927"/>
    <w:rsid w:val="00546CAB"/>
    <w:rsid w:val="00546DD9"/>
    <w:rsid w:val="0054707F"/>
    <w:rsid w:val="005473FA"/>
    <w:rsid w:val="005475A1"/>
    <w:rsid w:val="005476BD"/>
    <w:rsid w:val="005477B4"/>
    <w:rsid w:val="0054796E"/>
    <w:rsid w:val="00547BA2"/>
    <w:rsid w:val="00550094"/>
    <w:rsid w:val="0055019D"/>
    <w:rsid w:val="00550227"/>
    <w:rsid w:val="00550388"/>
    <w:rsid w:val="00550398"/>
    <w:rsid w:val="005503B1"/>
    <w:rsid w:val="00550425"/>
    <w:rsid w:val="00550665"/>
    <w:rsid w:val="0055089D"/>
    <w:rsid w:val="00550920"/>
    <w:rsid w:val="00550958"/>
    <w:rsid w:val="00550D70"/>
    <w:rsid w:val="00551094"/>
    <w:rsid w:val="0055121C"/>
    <w:rsid w:val="0055121E"/>
    <w:rsid w:val="0055132B"/>
    <w:rsid w:val="005517F5"/>
    <w:rsid w:val="005519D9"/>
    <w:rsid w:val="00551A3E"/>
    <w:rsid w:val="00551BD8"/>
    <w:rsid w:val="00551ED3"/>
    <w:rsid w:val="005521B1"/>
    <w:rsid w:val="00552274"/>
    <w:rsid w:val="005522DC"/>
    <w:rsid w:val="0055236B"/>
    <w:rsid w:val="0055245E"/>
    <w:rsid w:val="00552866"/>
    <w:rsid w:val="00552B34"/>
    <w:rsid w:val="00552B8D"/>
    <w:rsid w:val="00552BF0"/>
    <w:rsid w:val="00552D04"/>
    <w:rsid w:val="00552D24"/>
    <w:rsid w:val="00552D2A"/>
    <w:rsid w:val="00552DE7"/>
    <w:rsid w:val="00552F6C"/>
    <w:rsid w:val="0055368B"/>
    <w:rsid w:val="005539E7"/>
    <w:rsid w:val="00553BA9"/>
    <w:rsid w:val="00553BDA"/>
    <w:rsid w:val="00553DA5"/>
    <w:rsid w:val="00553F24"/>
    <w:rsid w:val="005541CB"/>
    <w:rsid w:val="005544DE"/>
    <w:rsid w:val="00554746"/>
    <w:rsid w:val="00554BE1"/>
    <w:rsid w:val="00554C26"/>
    <w:rsid w:val="00554D9E"/>
    <w:rsid w:val="00554EB2"/>
    <w:rsid w:val="0055501A"/>
    <w:rsid w:val="00555035"/>
    <w:rsid w:val="005550F4"/>
    <w:rsid w:val="00555398"/>
    <w:rsid w:val="005556D9"/>
    <w:rsid w:val="00555716"/>
    <w:rsid w:val="00555898"/>
    <w:rsid w:val="00555903"/>
    <w:rsid w:val="00555A6D"/>
    <w:rsid w:val="00555EC8"/>
    <w:rsid w:val="00555FEB"/>
    <w:rsid w:val="00556169"/>
    <w:rsid w:val="00556370"/>
    <w:rsid w:val="0055637B"/>
    <w:rsid w:val="00556672"/>
    <w:rsid w:val="005567AC"/>
    <w:rsid w:val="00556831"/>
    <w:rsid w:val="005568EA"/>
    <w:rsid w:val="00556E37"/>
    <w:rsid w:val="00556E76"/>
    <w:rsid w:val="00556F08"/>
    <w:rsid w:val="00556F52"/>
    <w:rsid w:val="00557021"/>
    <w:rsid w:val="005572D6"/>
    <w:rsid w:val="005574C8"/>
    <w:rsid w:val="005575B9"/>
    <w:rsid w:val="00557666"/>
    <w:rsid w:val="0055766F"/>
    <w:rsid w:val="0055767D"/>
    <w:rsid w:val="00557A10"/>
    <w:rsid w:val="00557A24"/>
    <w:rsid w:val="00557AF0"/>
    <w:rsid w:val="00557B18"/>
    <w:rsid w:val="00557CDF"/>
    <w:rsid w:val="00557D3E"/>
    <w:rsid w:val="00557D46"/>
    <w:rsid w:val="00557E12"/>
    <w:rsid w:val="00557ECA"/>
    <w:rsid w:val="00557ECF"/>
    <w:rsid w:val="005601AE"/>
    <w:rsid w:val="005602DA"/>
    <w:rsid w:val="00560362"/>
    <w:rsid w:val="00560486"/>
    <w:rsid w:val="00560643"/>
    <w:rsid w:val="0056066B"/>
    <w:rsid w:val="005607F8"/>
    <w:rsid w:val="0056097F"/>
    <w:rsid w:val="005609AC"/>
    <w:rsid w:val="00560A45"/>
    <w:rsid w:val="00560AAA"/>
    <w:rsid w:val="00560C41"/>
    <w:rsid w:val="00560D11"/>
    <w:rsid w:val="00560F2A"/>
    <w:rsid w:val="00560F34"/>
    <w:rsid w:val="0056135A"/>
    <w:rsid w:val="00561389"/>
    <w:rsid w:val="005613B1"/>
    <w:rsid w:val="00561609"/>
    <w:rsid w:val="0056163F"/>
    <w:rsid w:val="005616C2"/>
    <w:rsid w:val="00561B2C"/>
    <w:rsid w:val="00561C14"/>
    <w:rsid w:val="00561E9B"/>
    <w:rsid w:val="00561F66"/>
    <w:rsid w:val="00561F79"/>
    <w:rsid w:val="005620C3"/>
    <w:rsid w:val="005620DA"/>
    <w:rsid w:val="00562112"/>
    <w:rsid w:val="005621F3"/>
    <w:rsid w:val="00562274"/>
    <w:rsid w:val="00562510"/>
    <w:rsid w:val="00562687"/>
    <w:rsid w:val="005627E7"/>
    <w:rsid w:val="005629B7"/>
    <w:rsid w:val="00562A48"/>
    <w:rsid w:val="00562B95"/>
    <w:rsid w:val="00562CEE"/>
    <w:rsid w:val="00562EF1"/>
    <w:rsid w:val="00562FA3"/>
    <w:rsid w:val="0056312E"/>
    <w:rsid w:val="00563413"/>
    <w:rsid w:val="00563BB4"/>
    <w:rsid w:val="00563CCC"/>
    <w:rsid w:val="00563D32"/>
    <w:rsid w:val="00563D35"/>
    <w:rsid w:val="00563FBB"/>
    <w:rsid w:val="00563FED"/>
    <w:rsid w:val="0056448B"/>
    <w:rsid w:val="005646AA"/>
    <w:rsid w:val="00564817"/>
    <w:rsid w:val="00564CE9"/>
    <w:rsid w:val="00564E4D"/>
    <w:rsid w:val="00564E5C"/>
    <w:rsid w:val="00564E6F"/>
    <w:rsid w:val="00565330"/>
    <w:rsid w:val="0056559B"/>
    <w:rsid w:val="00565782"/>
    <w:rsid w:val="005658DB"/>
    <w:rsid w:val="00565AEB"/>
    <w:rsid w:val="00565D8F"/>
    <w:rsid w:val="00565DB7"/>
    <w:rsid w:val="00565F30"/>
    <w:rsid w:val="00566078"/>
    <w:rsid w:val="005662E2"/>
    <w:rsid w:val="005663EB"/>
    <w:rsid w:val="0056644F"/>
    <w:rsid w:val="00566459"/>
    <w:rsid w:val="0056663B"/>
    <w:rsid w:val="00566938"/>
    <w:rsid w:val="00566ACE"/>
    <w:rsid w:val="00566C11"/>
    <w:rsid w:val="00566CD7"/>
    <w:rsid w:val="00566E88"/>
    <w:rsid w:val="00566F5B"/>
    <w:rsid w:val="0056712A"/>
    <w:rsid w:val="00567132"/>
    <w:rsid w:val="005672D6"/>
    <w:rsid w:val="0056733B"/>
    <w:rsid w:val="0056734E"/>
    <w:rsid w:val="00567420"/>
    <w:rsid w:val="0056742E"/>
    <w:rsid w:val="00567519"/>
    <w:rsid w:val="00567753"/>
    <w:rsid w:val="00567922"/>
    <w:rsid w:val="00567BE5"/>
    <w:rsid w:val="00567C1D"/>
    <w:rsid w:val="00567CA1"/>
    <w:rsid w:val="00567DAD"/>
    <w:rsid w:val="00567E1E"/>
    <w:rsid w:val="00567EB9"/>
    <w:rsid w:val="0057009E"/>
    <w:rsid w:val="005701AA"/>
    <w:rsid w:val="005703BE"/>
    <w:rsid w:val="00570402"/>
    <w:rsid w:val="005704C8"/>
    <w:rsid w:val="00570858"/>
    <w:rsid w:val="005708F8"/>
    <w:rsid w:val="00570A85"/>
    <w:rsid w:val="00570A8C"/>
    <w:rsid w:val="005710C3"/>
    <w:rsid w:val="005712D3"/>
    <w:rsid w:val="005714B5"/>
    <w:rsid w:val="005714CB"/>
    <w:rsid w:val="00571684"/>
    <w:rsid w:val="0057185C"/>
    <w:rsid w:val="005719E9"/>
    <w:rsid w:val="00571AB4"/>
    <w:rsid w:val="00571EEC"/>
    <w:rsid w:val="00571F25"/>
    <w:rsid w:val="00572111"/>
    <w:rsid w:val="005723FF"/>
    <w:rsid w:val="00572466"/>
    <w:rsid w:val="00572666"/>
    <w:rsid w:val="00572754"/>
    <w:rsid w:val="00572D8D"/>
    <w:rsid w:val="00572DF2"/>
    <w:rsid w:val="00572ECF"/>
    <w:rsid w:val="00573005"/>
    <w:rsid w:val="00573177"/>
    <w:rsid w:val="00573204"/>
    <w:rsid w:val="005735B6"/>
    <w:rsid w:val="0057371E"/>
    <w:rsid w:val="0057379D"/>
    <w:rsid w:val="00573A34"/>
    <w:rsid w:val="00573AF5"/>
    <w:rsid w:val="00573D2D"/>
    <w:rsid w:val="00574170"/>
    <w:rsid w:val="0057439F"/>
    <w:rsid w:val="005743E6"/>
    <w:rsid w:val="0057440D"/>
    <w:rsid w:val="005746F2"/>
    <w:rsid w:val="00574A76"/>
    <w:rsid w:val="00574C6B"/>
    <w:rsid w:val="00574CB2"/>
    <w:rsid w:val="00574FB5"/>
    <w:rsid w:val="0057507A"/>
    <w:rsid w:val="005752D6"/>
    <w:rsid w:val="00575356"/>
    <w:rsid w:val="0057567C"/>
    <w:rsid w:val="00575828"/>
    <w:rsid w:val="00575BBB"/>
    <w:rsid w:val="00575C2C"/>
    <w:rsid w:val="00575CB6"/>
    <w:rsid w:val="00576150"/>
    <w:rsid w:val="00576156"/>
    <w:rsid w:val="005761DD"/>
    <w:rsid w:val="00576210"/>
    <w:rsid w:val="005763D9"/>
    <w:rsid w:val="00576487"/>
    <w:rsid w:val="00576505"/>
    <w:rsid w:val="0057650A"/>
    <w:rsid w:val="005765D8"/>
    <w:rsid w:val="0057660F"/>
    <w:rsid w:val="00576726"/>
    <w:rsid w:val="00576AAF"/>
    <w:rsid w:val="00576CBC"/>
    <w:rsid w:val="00576DB4"/>
    <w:rsid w:val="00576E27"/>
    <w:rsid w:val="00576E9C"/>
    <w:rsid w:val="0057705B"/>
    <w:rsid w:val="005770B5"/>
    <w:rsid w:val="00577200"/>
    <w:rsid w:val="0057733C"/>
    <w:rsid w:val="005775FB"/>
    <w:rsid w:val="00577689"/>
    <w:rsid w:val="00577746"/>
    <w:rsid w:val="00577905"/>
    <w:rsid w:val="00577B79"/>
    <w:rsid w:val="00577E5F"/>
    <w:rsid w:val="005800A6"/>
    <w:rsid w:val="005801D7"/>
    <w:rsid w:val="005803BE"/>
    <w:rsid w:val="00580520"/>
    <w:rsid w:val="0058072A"/>
    <w:rsid w:val="00580ABB"/>
    <w:rsid w:val="00581231"/>
    <w:rsid w:val="00581270"/>
    <w:rsid w:val="00581399"/>
    <w:rsid w:val="005817C5"/>
    <w:rsid w:val="00581826"/>
    <w:rsid w:val="005819DB"/>
    <w:rsid w:val="00581B8E"/>
    <w:rsid w:val="00581C30"/>
    <w:rsid w:val="00581CC8"/>
    <w:rsid w:val="00581E0D"/>
    <w:rsid w:val="00581E4E"/>
    <w:rsid w:val="0058203F"/>
    <w:rsid w:val="005821B2"/>
    <w:rsid w:val="005821E3"/>
    <w:rsid w:val="0058224B"/>
    <w:rsid w:val="0058244F"/>
    <w:rsid w:val="00582819"/>
    <w:rsid w:val="00582982"/>
    <w:rsid w:val="00582A8E"/>
    <w:rsid w:val="00582B25"/>
    <w:rsid w:val="00582D0A"/>
    <w:rsid w:val="00582F01"/>
    <w:rsid w:val="00583228"/>
    <w:rsid w:val="005832B5"/>
    <w:rsid w:val="00583671"/>
    <w:rsid w:val="005836E3"/>
    <w:rsid w:val="005837D3"/>
    <w:rsid w:val="00583A45"/>
    <w:rsid w:val="00583B07"/>
    <w:rsid w:val="00583CA9"/>
    <w:rsid w:val="00583CBE"/>
    <w:rsid w:val="00583D0D"/>
    <w:rsid w:val="00583D77"/>
    <w:rsid w:val="0058409A"/>
    <w:rsid w:val="00584326"/>
    <w:rsid w:val="00584378"/>
    <w:rsid w:val="005843C2"/>
    <w:rsid w:val="00584531"/>
    <w:rsid w:val="00584967"/>
    <w:rsid w:val="00584A52"/>
    <w:rsid w:val="00584F0A"/>
    <w:rsid w:val="00584F45"/>
    <w:rsid w:val="00585036"/>
    <w:rsid w:val="00585058"/>
    <w:rsid w:val="005850C1"/>
    <w:rsid w:val="00585208"/>
    <w:rsid w:val="005852B0"/>
    <w:rsid w:val="00585400"/>
    <w:rsid w:val="00585552"/>
    <w:rsid w:val="00585581"/>
    <w:rsid w:val="00585775"/>
    <w:rsid w:val="00585970"/>
    <w:rsid w:val="00585C06"/>
    <w:rsid w:val="00585E47"/>
    <w:rsid w:val="00585FA6"/>
    <w:rsid w:val="00585FF9"/>
    <w:rsid w:val="005861A2"/>
    <w:rsid w:val="005861EC"/>
    <w:rsid w:val="00586291"/>
    <w:rsid w:val="00586447"/>
    <w:rsid w:val="00586BA2"/>
    <w:rsid w:val="00586C84"/>
    <w:rsid w:val="00586FBC"/>
    <w:rsid w:val="005872AD"/>
    <w:rsid w:val="005873D8"/>
    <w:rsid w:val="0058744D"/>
    <w:rsid w:val="005875E4"/>
    <w:rsid w:val="005878FB"/>
    <w:rsid w:val="00587C3B"/>
    <w:rsid w:val="00587C43"/>
    <w:rsid w:val="00587CB3"/>
    <w:rsid w:val="00587D64"/>
    <w:rsid w:val="00587ECC"/>
    <w:rsid w:val="00587FFA"/>
    <w:rsid w:val="005901B2"/>
    <w:rsid w:val="00590227"/>
    <w:rsid w:val="00590264"/>
    <w:rsid w:val="0059037A"/>
    <w:rsid w:val="00590427"/>
    <w:rsid w:val="0059077B"/>
    <w:rsid w:val="00590956"/>
    <w:rsid w:val="00590957"/>
    <w:rsid w:val="0059098C"/>
    <w:rsid w:val="005909F8"/>
    <w:rsid w:val="00590C68"/>
    <w:rsid w:val="00590D07"/>
    <w:rsid w:val="005910BA"/>
    <w:rsid w:val="005911F4"/>
    <w:rsid w:val="0059126E"/>
    <w:rsid w:val="005918A4"/>
    <w:rsid w:val="00591990"/>
    <w:rsid w:val="00591B5D"/>
    <w:rsid w:val="00591C09"/>
    <w:rsid w:val="00591D73"/>
    <w:rsid w:val="00591EC8"/>
    <w:rsid w:val="00591F8B"/>
    <w:rsid w:val="00591FCB"/>
    <w:rsid w:val="00592062"/>
    <w:rsid w:val="0059212F"/>
    <w:rsid w:val="005921B3"/>
    <w:rsid w:val="005921D7"/>
    <w:rsid w:val="0059233D"/>
    <w:rsid w:val="00592408"/>
    <w:rsid w:val="00592476"/>
    <w:rsid w:val="005924AD"/>
    <w:rsid w:val="00592544"/>
    <w:rsid w:val="005925D9"/>
    <w:rsid w:val="0059280C"/>
    <w:rsid w:val="00592939"/>
    <w:rsid w:val="00592986"/>
    <w:rsid w:val="00592C66"/>
    <w:rsid w:val="00592C80"/>
    <w:rsid w:val="0059305D"/>
    <w:rsid w:val="005932A8"/>
    <w:rsid w:val="0059334A"/>
    <w:rsid w:val="00593603"/>
    <w:rsid w:val="00593941"/>
    <w:rsid w:val="00593C70"/>
    <w:rsid w:val="00593CED"/>
    <w:rsid w:val="00593D76"/>
    <w:rsid w:val="00593F2E"/>
    <w:rsid w:val="00594266"/>
    <w:rsid w:val="005944E8"/>
    <w:rsid w:val="00594510"/>
    <w:rsid w:val="00594675"/>
    <w:rsid w:val="005946B9"/>
    <w:rsid w:val="00594789"/>
    <w:rsid w:val="00594835"/>
    <w:rsid w:val="005948C0"/>
    <w:rsid w:val="005948CE"/>
    <w:rsid w:val="00594A1F"/>
    <w:rsid w:val="00594A35"/>
    <w:rsid w:val="00594A7E"/>
    <w:rsid w:val="00594AB1"/>
    <w:rsid w:val="00594D0B"/>
    <w:rsid w:val="00594D2A"/>
    <w:rsid w:val="00594ECD"/>
    <w:rsid w:val="005950C5"/>
    <w:rsid w:val="00595188"/>
    <w:rsid w:val="005951E5"/>
    <w:rsid w:val="005952F3"/>
    <w:rsid w:val="005956CA"/>
    <w:rsid w:val="00595824"/>
    <w:rsid w:val="0059589B"/>
    <w:rsid w:val="00595C36"/>
    <w:rsid w:val="00595D4B"/>
    <w:rsid w:val="00595E30"/>
    <w:rsid w:val="00596062"/>
    <w:rsid w:val="00596573"/>
    <w:rsid w:val="005966CF"/>
    <w:rsid w:val="00596A22"/>
    <w:rsid w:val="00596B2C"/>
    <w:rsid w:val="00596DBA"/>
    <w:rsid w:val="00596DCA"/>
    <w:rsid w:val="00596FB1"/>
    <w:rsid w:val="00596FE4"/>
    <w:rsid w:val="005972EC"/>
    <w:rsid w:val="00597783"/>
    <w:rsid w:val="005977CE"/>
    <w:rsid w:val="00597930"/>
    <w:rsid w:val="00597BCD"/>
    <w:rsid w:val="00597CF9"/>
    <w:rsid w:val="00597D02"/>
    <w:rsid w:val="00597FA2"/>
    <w:rsid w:val="005A0243"/>
    <w:rsid w:val="005A02E9"/>
    <w:rsid w:val="005A03E3"/>
    <w:rsid w:val="005A0513"/>
    <w:rsid w:val="005A06C8"/>
    <w:rsid w:val="005A0907"/>
    <w:rsid w:val="005A0CB3"/>
    <w:rsid w:val="005A0CD8"/>
    <w:rsid w:val="005A0E18"/>
    <w:rsid w:val="005A0F52"/>
    <w:rsid w:val="005A100A"/>
    <w:rsid w:val="005A1832"/>
    <w:rsid w:val="005A19B3"/>
    <w:rsid w:val="005A19F0"/>
    <w:rsid w:val="005A1AC8"/>
    <w:rsid w:val="005A1ADD"/>
    <w:rsid w:val="005A2011"/>
    <w:rsid w:val="005A237A"/>
    <w:rsid w:val="005A2572"/>
    <w:rsid w:val="005A26C2"/>
    <w:rsid w:val="005A27A6"/>
    <w:rsid w:val="005A2A4B"/>
    <w:rsid w:val="005A2AB1"/>
    <w:rsid w:val="005A2B51"/>
    <w:rsid w:val="005A2BAF"/>
    <w:rsid w:val="005A2D57"/>
    <w:rsid w:val="005A2DCB"/>
    <w:rsid w:val="005A2E33"/>
    <w:rsid w:val="005A3031"/>
    <w:rsid w:val="005A33C7"/>
    <w:rsid w:val="005A3429"/>
    <w:rsid w:val="005A34D0"/>
    <w:rsid w:val="005A3503"/>
    <w:rsid w:val="005A35D5"/>
    <w:rsid w:val="005A363E"/>
    <w:rsid w:val="005A39E2"/>
    <w:rsid w:val="005A3A99"/>
    <w:rsid w:val="005A3B0C"/>
    <w:rsid w:val="005A3CC6"/>
    <w:rsid w:val="005A3D9A"/>
    <w:rsid w:val="005A3DE0"/>
    <w:rsid w:val="005A3E34"/>
    <w:rsid w:val="005A40E3"/>
    <w:rsid w:val="005A4386"/>
    <w:rsid w:val="005A4414"/>
    <w:rsid w:val="005A475F"/>
    <w:rsid w:val="005A4800"/>
    <w:rsid w:val="005A4909"/>
    <w:rsid w:val="005A4A29"/>
    <w:rsid w:val="005A4BC8"/>
    <w:rsid w:val="005A4BF0"/>
    <w:rsid w:val="005A4CA5"/>
    <w:rsid w:val="005A4F7E"/>
    <w:rsid w:val="005A5096"/>
    <w:rsid w:val="005A50A1"/>
    <w:rsid w:val="005A50BF"/>
    <w:rsid w:val="005A540E"/>
    <w:rsid w:val="005A54BC"/>
    <w:rsid w:val="005A58E3"/>
    <w:rsid w:val="005A5911"/>
    <w:rsid w:val="005A5A65"/>
    <w:rsid w:val="005A5AC7"/>
    <w:rsid w:val="005A5C82"/>
    <w:rsid w:val="005A5D91"/>
    <w:rsid w:val="005A604E"/>
    <w:rsid w:val="005A624B"/>
    <w:rsid w:val="005A63B4"/>
    <w:rsid w:val="005A640E"/>
    <w:rsid w:val="005A64E4"/>
    <w:rsid w:val="005A674D"/>
    <w:rsid w:val="005A675D"/>
    <w:rsid w:val="005A6954"/>
    <w:rsid w:val="005A6C1A"/>
    <w:rsid w:val="005A6D0D"/>
    <w:rsid w:val="005A70D7"/>
    <w:rsid w:val="005A70FA"/>
    <w:rsid w:val="005A723D"/>
    <w:rsid w:val="005A73B4"/>
    <w:rsid w:val="005A7429"/>
    <w:rsid w:val="005A75C5"/>
    <w:rsid w:val="005A7668"/>
    <w:rsid w:val="005A7692"/>
    <w:rsid w:val="005A76C9"/>
    <w:rsid w:val="005A7C8E"/>
    <w:rsid w:val="005A7D8F"/>
    <w:rsid w:val="005B0030"/>
    <w:rsid w:val="005B0086"/>
    <w:rsid w:val="005B00A8"/>
    <w:rsid w:val="005B00DA"/>
    <w:rsid w:val="005B04D1"/>
    <w:rsid w:val="005B04EE"/>
    <w:rsid w:val="005B06BA"/>
    <w:rsid w:val="005B06FB"/>
    <w:rsid w:val="005B096F"/>
    <w:rsid w:val="005B0995"/>
    <w:rsid w:val="005B0B6C"/>
    <w:rsid w:val="005B0BE3"/>
    <w:rsid w:val="005B0C20"/>
    <w:rsid w:val="005B0CC1"/>
    <w:rsid w:val="005B0D8A"/>
    <w:rsid w:val="005B0E6A"/>
    <w:rsid w:val="005B0FC8"/>
    <w:rsid w:val="005B11DF"/>
    <w:rsid w:val="005B14E6"/>
    <w:rsid w:val="005B1609"/>
    <w:rsid w:val="005B1617"/>
    <w:rsid w:val="005B17A0"/>
    <w:rsid w:val="005B19F9"/>
    <w:rsid w:val="005B1B3F"/>
    <w:rsid w:val="005B1BC7"/>
    <w:rsid w:val="005B1CCB"/>
    <w:rsid w:val="005B1CE4"/>
    <w:rsid w:val="005B1D92"/>
    <w:rsid w:val="005B1DD5"/>
    <w:rsid w:val="005B1F15"/>
    <w:rsid w:val="005B21FD"/>
    <w:rsid w:val="005B235A"/>
    <w:rsid w:val="005B25AB"/>
    <w:rsid w:val="005B29BE"/>
    <w:rsid w:val="005B2D8C"/>
    <w:rsid w:val="005B3182"/>
    <w:rsid w:val="005B32A0"/>
    <w:rsid w:val="005B32A3"/>
    <w:rsid w:val="005B3363"/>
    <w:rsid w:val="005B369B"/>
    <w:rsid w:val="005B378A"/>
    <w:rsid w:val="005B38E8"/>
    <w:rsid w:val="005B3B62"/>
    <w:rsid w:val="005B3B8D"/>
    <w:rsid w:val="005B3BF5"/>
    <w:rsid w:val="005B3C9F"/>
    <w:rsid w:val="005B3DC2"/>
    <w:rsid w:val="005B3E12"/>
    <w:rsid w:val="005B3EC1"/>
    <w:rsid w:val="005B411B"/>
    <w:rsid w:val="005B4175"/>
    <w:rsid w:val="005B4221"/>
    <w:rsid w:val="005B4252"/>
    <w:rsid w:val="005B43E4"/>
    <w:rsid w:val="005B44A1"/>
    <w:rsid w:val="005B44D8"/>
    <w:rsid w:val="005B44F7"/>
    <w:rsid w:val="005B4871"/>
    <w:rsid w:val="005B48A2"/>
    <w:rsid w:val="005B49B4"/>
    <w:rsid w:val="005B4E5E"/>
    <w:rsid w:val="005B4EE3"/>
    <w:rsid w:val="005B4FED"/>
    <w:rsid w:val="005B5025"/>
    <w:rsid w:val="005B5094"/>
    <w:rsid w:val="005B515D"/>
    <w:rsid w:val="005B5442"/>
    <w:rsid w:val="005B5598"/>
    <w:rsid w:val="005B5875"/>
    <w:rsid w:val="005B5930"/>
    <w:rsid w:val="005B5C74"/>
    <w:rsid w:val="005B5DAF"/>
    <w:rsid w:val="005B615C"/>
    <w:rsid w:val="005B61B4"/>
    <w:rsid w:val="005B61B6"/>
    <w:rsid w:val="005B632C"/>
    <w:rsid w:val="005B633B"/>
    <w:rsid w:val="005B657E"/>
    <w:rsid w:val="005B6928"/>
    <w:rsid w:val="005B6A89"/>
    <w:rsid w:val="005B6AB2"/>
    <w:rsid w:val="005B6B20"/>
    <w:rsid w:val="005B6B35"/>
    <w:rsid w:val="005B6B88"/>
    <w:rsid w:val="005B6DB9"/>
    <w:rsid w:val="005B6EAD"/>
    <w:rsid w:val="005B70FC"/>
    <w:rsid w:val="005B71DC"/>
    <w:rsid w:val="005B725B"/>
    <w:rsid w:val="005B736D"/>
    <w:rsid w:val="005B74A5"/>
    <w:rsid w:val="005B74B8"/>
    <w:rsid w:val="005B75CB"/>
    <w:rsid w:val="005B76A4"/>
    <w:rsid w:val="005B77BC"/>
    <w:rsid w:val="005B77D1"/>
    <w:rsid w:val="005B7AE7"/>
    <w:rsid w:val="005B7BFF"/>
    <w:rsid w:val="005C003F"/>
    <w:rsid w:val="005C0279"/>
    <w:rsid w:val="005C042E"/>
    <w:rsid w:val="005C058A"/>
    <w:rsid w:val="005C05E7"/>
    <w:rsid w:val="005C0783"/>
    <w:rsid w:val="005C0D1F"/>
    <w:rsid w:val="005C0F6C"/>
    <w:rsid w:val="005C1133"/>
    <w:rsid w:val="005C11D0"/>
    <w:rsid w:val="005C125A"/>
    <w:rsid w:val="005C13AA"/>
    <w:rsid w:val="005C13DE"/>
    <w:rsid w:val="005C13F1"/>
    <w:rsid w:val="005C1435"/>
    <w:rsid w:val="005C18B6"/>
    <w:rsid w:val="005C195C"/>
    <w:rsid w:val="005C1AD2"/>
    <w:rsid w:val="005C1B40"/>
    <w:rsid w:val="005C1C91"/>
    <w:rsid w:val="005C1E8D"/>
    <w:rsid w:val="005C1F23"/>
    <w:rsid w:val="005C1F7A"/>
    <w:rsid w:val="005C2124"/>
    <w:rsid w:val="005C23FD"/>
    <w:rsid w:val="005C2441"/>
    <w:rsid w:val="005C24C0"/>
    <w:rsid w:val="005C25D2"/>
    <w:rsid w:val="005C2713"/>
    <w:rsid w:val="005C27EC"/>
    <w:rsid w:val="005C2DDD"/>
    <w:rsid w:val="005C314A"/>
    <w:rsid w:val="005C3299"/>
    <w:rsid w:val="005C3427"/>
    <w:rsid w:val="005C34D9"/>
    <w:rsid w:val="005C363A"/>
    <w:rsid w:val="005C3683"/>
    <w:rsid w:val="005C38D2"/>
    <w:rsid w:val="005C3A95"/>
    <w:rsid w:val="005C3E5E"/>
    <w:rsid w:val="005C3E75"/>
    <w:rsid w:val="005C3F6F"/>
    <w:rsid w:val="005C3FD8"/>
    <w:rsid w:val="005C4001"/>
    <w:rsid w:val="005C4219"/>
    <w:rsid w:val="005C4270"/>
    <w:rsid w:val="005C42C5"/>
    <w:rsid w:val="005C42D7"/>
    <w:rsid w:val="005C4303"/>
    <w:rsid w:val="005C4660"/>
    <w:rsid w:val="005C47C8"/>
    <w:rsid w:val="005C4895"/>
    <w:rsid w:val="005C489D"/>
    <w:rsid w:val="005C493C"/>
    <w:rsid w:val="005C4969"/>
    <w:rsid w:val="005C49C1"/>
    <w:rsid w:val="005C4BE5"/>
    <w:rsid w:val="005C4C1C"/>
    <w:rsid w:val="005C4C38"/>
    <w:rsid w:val="005C5183"/>
    <w:rsid w:val="005C521C"/>
    <w:rsid w:val="005C563B"/>
    <w:rsid w:val="005C566E"/>
    <w:rsid w:val="005C56A8"/>
    <w:rsid w:val="005C579A"/>
    <w:rsid w:val="005C5CD3"/>
    <w:rsid w:val="005C5CE3"/>
    <w:rsid w:val="005C5DE3"/>
    <w:rsid w:val="005C5E42"/>
    <w:rsid w:val="005C617A"/>
    <w:rsid w:val="005C629A"/>
    <w:rsid w:val="005C6456"/>
    <w:rsid w:val="005C68EF"/>
    <w:rsid w:val="005C6B48"/>
    <w:rsid w:val="005C6BC4"/>
    <w:rsid w:val="005C6EB2"/>
    <w:rsid w:val="005C6F03"/>
    <w:rsid w:val="005C72FF"/>
    <w:rsid w:val="005C732F"/>
    <w:rsid w:val="005C7992"/>
    <w:rsid w:val="005C79E2"/>
    <w:rsid w:val="005C7B28"/>
    <w:rsid w:val="005C7B69"/>
    <w:rsid w:val="005C7BF6"/>
    <w:rsid w:val="005C7C01"/>
    <w:rsid w:val="005C7E9D"/>
    <w:rsid w:val="005D0004"/>
    <w:rsid w:val="005D017E"/>
    <w:rsid w:val="005D039D"/>
    <w:rsid w:val="005D050A"/>
    <w:rsid w:val="005D05FF"/>
    <w:rsid w:val="005D06C4"/>
    <w:rsid w:val="005D07D2"/>
    <w:rsid w:val="005D07F6"/>
    <w:rsid w:val="005D0AD5"/>
    <w:rsid w:val="005D0DD7"/>
    <w:rsid w:val="005D1551"/>
    <w:rsid w:val="005D15CF"/>
    <w:rsid w:val="005D1762"/>
    <w:rsid w:val="005D1B05"/>
    <w:rsid w:val="005D1B19"/>
    <w:rsid w:val="005D1D01"/>
    <w:rsid w:val="005D1F9D"/>
    <w:rsid w:val="005D22CF"/>
    <w:rsid w:val="005D2353"/>
    <w:rsid w:val="005D23A5"/>
    <w:rsid w:val="005D23EA"/>
    <w:rsid w:val="005D26A2"/>
    <w:rsid w:val="005D272E"/>
    <w:rsid w:val="005D274C"/>
    <w:rsid w:val="005D282C"/>
    <w:rsid w:val="005D2943"/>
    <w:rsid w:val="005D2A1F"/>
    <w:rsid w:val="005D2A35"/>
    <w:rsid w:val="005D2B4F"/>
    <w:rsid w:val="005D2B7D"/>
    <w:rsid w:val="005D2B8D"/>
    <w:rsid w:val="005D2DE5"/>
    <w:rsid w:val="005D2DEB"/>
    <w:rsid w:val="005D2DEC"/>
    <w:rsid w:val="005D2ED1"/>
    <w:rsid w:val="005D3201"/>
    <w:rsid w:val="005D32A8"/>
    <w:rsid w:val="005D34F7"/>
    <w:rsid w:val="005D3524"/>
    <w:rsid w:val="005D3772"/>
    <w:rsid w:val="005D3869"/>
    <w:rsid w:val="005D388F"/>
    <w:rsid w:val="005D3A87"/>
    <w:rsid w:val="005D3B56"/>
    <w:rsid w:val="005D3BBC"/>
    <w:rsid w:val="005D3BDD"/>
    <w:rsid w:val="005D3D30"/>
    <w:rsid w:val="005D3DB9"/>
    <w:rsid w:val="005D3DC6"/>
    <w:rsid w:val="005D3E78"/>
    <w:rsid w:val="005D3EB8"/>
    <w:rsid w:val="005D405D"/>
    <w:rsid w:val="005D4263"/>
    <w:rsid w:val="005D4633"/>
    <w:rsid w:val="005D46C6"/>
    <w:rsid w:val="005D4815"/>
    <w:rsid w:val="005D4935"/>
    <w:rsid w:val="005D4D29"/>
    <w:rsid w:val="005D4EEE"/>
    <w:rsid w:val="005D4F05"/>
    <w:rsid w:val="005D5312"/>
    <w:rsid w:val="005D53F8"/>
    <w:rsid w:val="005D54B8"/>
    <w:rsid w:val="005D54C8"/>
    <w:rsid w:val="005D56EE"/>
    <w:rsid w:val="005D5792"/>
    <w:rsid w:val="005D5881"/>
    <w:rsid w:val="005D594A"/>
    <w:rsid w:val="005D5A1E"/>
    <w:rsid w:val="005D5AE7"/>
    <w:rsid w:val="005D5B66"/>
    <w:rsid w:val="005D5BCF"/>
    <w:rsid w:val="005D5C17"/>
    <w:rsid w:val="005D5CBA"/>
    <w:rsid w:val="005D5D8A"/>
    <w:rsid w:val="005D5DA0"/>
    <w:rsid w:val="005D5DED"/>
    <w:rsid w:val="005D5E6E"/>
    <w:rsid w:val="005D5FA7"/>
    <w:rsid w:val="005D6049"/>
    <w:rsid w:val="005D617B"/>
    <w:rsid w:val="005D6808"/>
    <w:rsid w:val="005D6AEC"/>
    <w:rsid w:val="005D6B93"/>
    <w:rsid w:val="005D6FC4"/>
    <w:rsid w:val="005D71BA"/>
    <w:rsid w:val="005D71BE"/>
    <w:rsid w:val="005D7299"/>
    <w:rsid w:val="005D732B"/>
    <w:rsid w:val="005D75BB"/>
    <w:rsid w:val="005D762F"/>
    <w:rsid w:val="005D77F6"/>
    <w:rsid w:val="005D7844"/>
    <w:rsid w:val="005D7931"/>
    <w:rsid w:val="005D79E2"/>
    <w:rsid w:val="005D7AB1"/>
    <w:rsid w:val="005D7B45"/>
    <w:rsid w:val="005D7C66"/>
    <w:rsid w:val="005D7CC9"/>
    <w:rsid w:val="005D7D33"/>
    <w:rsid w:val="005E0062"/>
    <w:rsid w:val="005E0134"/>
    <w:rsid w:val="005E0314"/>
    <w:rsid w:val="005E0587"/>
    <w:rsid w:val="005E06AC"/>
    <w:rsid w:val="005E07C2"/>
    <w:rsid w:val="005E083D"/>
    <w:rsid w:val="005E0AAF"/>
    <w:rsid w:val="005E0BA3"/>
    <w:rsid w:val="005E0C23"/>
    <w:rsid w:val="005E0D79"/>
    <w:rsid w:val="005E0FEA"/>
    <w:rsid w:val="005E10EC"/>
    <w:rsid w:val="005E1484"/>
    <w:rsid w:val="005E1726"/>
    <w:rsid w:val="005E183E"/>
    <w:rsid w:val="005E1AA3"/>
    <w:rsid w:val="005E1C62"/>
    <w:rsid w:val="005E1EE8"/>
    <w:rsid w:val="005E21BD"/>
    <w:rsid w:val="005E22E7"/>
    <w:rsid w:val="005E244F"/>
    <w:rsid w:val="005E27F8"/>
    <w:rsid w:val="005E2D5E"/>
    <w:rsid w:val="005E2F75"/>
    <w:rsid w:val="005E30BB"/>
    <w:rsid w:val="005E3313"/>
    <w:rsid w:val="005E3617"/>
    <w:rsid w:val="005E3886"/>
    <w:rsid w:val="005E395A"/>
    <w:rsid w:val="005E39E0"/>
    <w:rsid w:val="005E39E2"/>
    <w:rsid w:val="005E3B4A"/>
    <w:rsid w:val="005E3DC5"/>
    <w:rsid w:val="005E3E19"/>
    <w:rsid w:val="005E4240"/>
    <w:rsid w:val="005E424E"/>
    <w:rsid w:val="005E44CA"/>
    <w:rsid w:val="005E45BF"/>
    <w:rsid w:val="005E4A43"/>
    <w:rsid w:val="005E4AFD"/>
    <w:rsid w:val="005E4B3D"/>
    <w:rsid w:val="005E4B4A"/>
    <w:rsid w:val="005E4D00"/>
    <w:rsid w:val="005E4E83"/>
    <w:rsid w:val="005E4F22"/>
    <w:rsid w:val="005E4F4A"/>
    <w:rsid w:val="005E53A8"/>
    <w:rsid w:val="005E556C"/>
    <w:rsid w:val="005E57B2"/>
    <w:rsid w:val="005E5832"/>
    <w:rsid w:val="005E5B39"/>
    <w:rsid w:val="005E5D5C"/>
    <w:rsid w:val="005E5E93"/>
    <w:rsid w:val="005E623B"/>
    <w:rsid w:val="005E69E4"/>
    <w:rsid w:val="005E6CC8"/>
    <w:rsid w:val="005E6F6A"/>
    <w:rsid w:val="005E70E6"/>
    <w:rsid w:val="005E7732"/>
    <w:rsid w:val="005E789E"/>
    <w:rsid w:val="005E79AE"/>
    <w:rsid w:val="005E7A3F"/>
    <w:rsid w:val="005E7D15"/>
    <w:rsid w:val="005E7F3D"/>
    <w:rsid w:val="005E7F3E"/>
    <w:rsid w:val="005F0136"/>
    <w:rsid w:val="005F02DD"/>
    <w:rsid w:val="005F070C"/>
    <w:rsid w:val="005F0AFF"/>
    <w:rsid w:val="005F114A"/>
    <w:rsid w:val="005F153C"/>
    <w:rsid w:val="005F1740"/>
    <w:rsid w:val="005F1B87"/>
    <w:rsid w:val="005F1D36"/>
    <w:rsid w:val="005F1D4C"/>
    <w:rsid w:val="005F1E62"/>
    <w:rsid w:val="005F1FF2"/>
    <w:rsid w:val="005F245E"/>
    <w:rsid w:val="005F25EF"/>
    <w:rsid w:val="005F2805"/>
    <w:rsid w:val="005F292E"/>
    <w:rsid w:val="005F295C"/>
    <w:rsid w:val="005F29B1"/>
    <w:rsid w:val="005F2CFD"/>
    <w:rsid w:val="005F309F"/>
    <w:rsid w:val="005F345F"/>
    <w:rsid w:val="005F351B"/>
    <w:rsid w:val="005F38C3"/>
    <w:rsid w:val="005F38C4"/>
    <w:rsid w:val="005F3C8E"/>
    <w:rsid w:val="005F3E22"/>
    <w:rsid w:val="005F403E"/>
    <w:rsid w:val="005F4481"/>
    <w:rsid w:val="005F4492"/>
    <w:rsid w:val="005F4697"/>
    <w:rsid w:val="005F47F8"/>
    <w:rsid w:val="005F48D4"/>
    <w:rsid w:val="005F4A07"/>
    <w:rsid w:val="005F4B44"/>
    <w:rsid w:val="005F4BDF"/>
    <w:rsid w:val="005F4C7C"/>
    <w:rsid w:val="005F4E71"/>
    <w:rsid w:val="005F4ECF"/>
    <w:rsid w:val="005F50C3"/>
    <w:rsid w:val="005F5284"/>
    <w:rsid w:val="005F544A"/>
    <w:rsid w:val="005F56CD"/>
    <w:rsid w:val="005F58A0"/>
    <w:rsid w:val="005F59A9"/>
    <w:rsid w:val="005F59CE"/>
    <w:rsid w:val="005F5ACE"/>
    <w:rsid w:val="005F5B08"/>
    <w:rsid w:val="005F5C7A"/>
    <w:rsid w:val="005F5C88"/>
    <w:rsid w:val="005F5F8F"/>
    <w:rsid w:val="005F6061"/>
    <w:rsid w:val="005F611C"/>
    <w:rsid w:val="005F61D1"/>
    <w:rsid w:val="005F65BB"/>
    <w:rsid w:val="005F6668"/>
    <w:rsid w:val="005F66E6"/>
    <w:rsid w:val="005F6711"/>
    <w:rsid w:val="005F67D1"/>
    <w:rsid w:val="005F682D"/>
    <w:rsid w:val="005F6903"/>
    <w:rsid w:val="005F698B"/>
    <w:rsid w:val="005F6A84"/>
    <w:rsid w:val="005F6B2A"/>
    <w:rsid w:val="005F6C8E"/>
    <w:rsid w:val="005F6D85"/>
    <w:rsid w:val="005F6E8A"/>
    <w:rsid w:val="005F6EAA"/>
    <w:rsid w:val="005F7127"/>
    <w:rsid w:val="005F71F2"/>
    <w:rsid w:val="005F7382"/>
    <w:rsid w:val="005F7455"/>
    <w:rsid w:val="005F75AD"/>
    <w:rsid w:val="005F75C5"/>
    <w:rsid w:val="005F7606"/>
    <w:rsid w:val="005F7679"/>
    <w:rsid w:val="005F781E"/>
    <w:rsid w:val="005F7A24"/>
    <w:rsid w:val="005F7BC3"/>
    <w:rsid w:val="005F7BF4"/>
    <w:rsid w:val="005F7C02"/>
    <w:rsid w:val="005F7C10"/>
    <w:rsid w:val="005F7F5A"/>
    <w:rsid w:val="00600108"/>
    <w:rsid w:val="00600372"/>
    <w:rsid w:val="00600673"/>
    <w:rsid w:val="006006E6"/>
    <w:rsid w:val="0060078D"/>
    <w:rsid w:val="00600997"/>
    <w:rsid w:val="00600B75"/>
    <w:rsid w:val="00600D39"/>
    <w:rsid w:val="00601243"/>
    <w:rsid w:val="00601247"/>
    <w:rsid w:val="00601335"/>
    <w:rsid w:val="00601569"/>
    <w:rsid w:val="00601A2D"/>
    <w:rsid w:val="00601B88"/>
    <w:rsid w:val="00601D4E"/>
    <w:rsid w:val="00601FBE"/>
    <w:rsid w:val="00601FE5"/>
    <w:rsid w:val="00601FF3"/>
    <w:rsid w:val="00602095"/>
    <w:rsid w:val="00602203"/>
    <w:rsid w:val="0060226A"/>
    <w:rsid w:val="00602300"/>
    <w:rsid w:val="00602328"/>
    <w:rsid w:val="006023BB"/>
    <w:rsid w:val="006024F3"/>
    <w:rsid w:val="00602585"/>
    <w:rsid w:val="00602674"/>
    <w:rsid w:val="0060272C"/>
    <w:rsid w:val="00602779"/>
    <w:rsid w:val="006027B6"/>
    <w:rsid w:val="00602A62"/>
    <w:rsid w:val="00602BAC"/>
    <w:rsid w:val="00602C16"/>
    <w:rsid w:val="00602EED"/>
    <w:rsid w:val="00602F0C"/>
    <w:rsid w:val="00603023"/>
    <w:rsid w:val="00603035"/>
    <w:rsid w:val="006031BC"/>
    <w:rsid w:val="0060325C"/>
    <w:rsid w:val="006032C5"/>
    <w:rsid w:val="00603357"/>
    <w:rsid w:val="006034E5"/>
    <w:rsid w:val="00603726"/>
    <w:rsid w:val="0060391C"/>
    <w:rsid w:val="00603A8A"/>
    <w:rsid w:val="00603B47"/>
    <w:rsid w:val="00603BF1"/>
    <w:rsid w:val="00603C47"/>
    <w:rsid w:val="00603C9A"/>
    <w:rsid w:val="00603CDE"/>
    <w:rsid w:val="00603FC0"/>
    <w:rsid w:val="006040B2"/>
    <w:rsid w:val="00604241"/>
    <w:rsid w:val="00604383"/>
    <w:rsid w:val="00604669"/>
    <w:rsid w:val="006046C7"/>
    <w:rsid w:val="00604765"/>
    <w:rsid w:val="00604A52"/>
    <w:rsid w:val="00604A9E"/>
    <w:rsid w:val="00604CF5"/>
    <w:rsid w:val="00604D3D"/>
    <w:rsid w:val="00604D44"/>
    <w:rsid w:val="00604F3D"/>
    <w:rsid w:val="00605056"/>
    <w:rsid w:val="00605069"/>
    <w:rsid w:val="006051C5"/>
    <w:rsid w:val="006055B1"/>
    <w:rsid w:val="00605617"/>
    <w:rsid w:val="006056C5"/>
    <w:rsid w:val="006056CA"/>
    <w:rsid w:val="006057B9"/>
    <w:rsid w:val="0060584E"/>
    <w:rsid w:val="006059C1"/>
    <w:rsid w:val="006059EF"/>
    <w:rsid w:val="00605A29"/>
    <w:rsid w:val="00605A90"/>
    <w:rsid w:val="00605D4A"/>
    <w:rsid w:val="00605DED"/>
    <w:rsid w:val="00605E8A"/>
    <w:rsid w:val="00605F34"/>
    <w:rsid w:val="00605FF7"/>
    <w:rsid w:val="0060606F"/>
    <w:rsid w:val="0060615B"/>
    <w:rsid w:val="00606493"/>
    <w:rsid w:val="00606533"/>
    <w:rsid w:val="006065BC"/>
    <w:rsid w:val="006067AB"/>
    <w:rsid w:val="006067F8"/>
    <w:rsid w:val="0060684B"/>
    <w:rsid w:val="00606C4B"/>
    <w:rsid w:val="00606E27"/>
    <w:rsid w:val="00606E34"/>
    <w:rsid w:val="00606E53"/>
    <w:rsid w:val="0060704C"/>
    <w:rsid w:val="0060769B"/>
    <w:rsid w:val="00607A5B"/>
    <w:rsid w:val="00607ADC"/>
    <w:rsid w:val="00607CCE"/>
    <w:rsid w:val="00607CDB"/>
    <w:rsid w:val="00607E36"/>
    <w:rsid w:val="00607E5A"/>
    <w:rsid w:val="00607E8B"/>
    <w:rsid w:val="006100DA"/>
    <w:rsid w:val="00610132"/>
    <w:rsid w:val="0061015E"/>
    <w:rsid w:val="0061024D"/>
    <w:rsid w:val="006103B3"/>
    <w:rsid w:val="0061043C"/>
    <w:rsid w:val="00610A5C"/>
    <w:rsid w:val="00610B7F"/>
    <w:rsid w:val="00610FD3"/>
    <w:rsid w:val="00610FEC"/>
    <w:rsid w:val="00611003"/>
    <w:rsid w:val="00611073"/>
    <w:rsid w:val="0061108E"/>
    <w:rsid w:val="006111B3"/>
    <w:rsid w:val="0061127E"/>
    <w:rsid w:val="00611709"/>
    <w:rsid w:val="00611722"/>
    <w:rsid w:val="006117F4"/>
    <w:rsid w:val="00611804"/>
    <w:rsid w:val="00611AB0"/>
    <w:rsid w:val="00611B37"/>
    <w:rsid w:val="00611B48"/>
    <w:rsid w:val="00611B9E"/>
    <w:rsid w:val="00611CE6"/>
    <w:rsid w:val="006120B9"/>
    <w:rsid w:val="00612110"/>
    <w:rsid w:val="0061211D"/>
    <w:rsid w:val="0061216D"/>
    <w:rsid w:val="0061263E"/>
    <w:rsid w:val="00612885"/>
    <w:rsid w:val="0061288A"/>
    <w:rsid w:val="0061291D"/>
    <w:rsid w:val="006129AB"/>
    <w:rsid w:val="00612B24"/>
    <w:rsid w:val="00612D13"/>
    <w:rsid w:val="00612DAF"/>
    <w:rsid w:val="00612DB3"/>
    <w:rsid w:val="00612F11"/>
    <w:rsid w:val="00613112"/>
    <w:rsid w:val="00613126"/>
    <w:rsid w:val="006132D7"/>
    <w:rsid w:val="00613307"/>
    <w:rsid w:val="0061330C"/>
    <w:rsid w:val="0061345E"/>
    <w:rsid w:val="00613674"/>
    <w:rsid w:val="006137B3"/>
    <w:rsid w:val="00613AAB"/>
    <w:rsid w:val="00613C31"/>
    <w:rsid w:val="00613C7E"/>
    <w:rsid w:val="00613D1D"/>
    <w:rsid w:val="00613DCD"/>
    <w:rsid w:val="00614509"/>
    <w:rsid w:val="006146D6"/>
    <w:rsid w:val="0061470C"/>
    <w:rsid w:val="00614785"/>
    <w:rsid w:val="006149B6"/>
    <w:rsid w:val="006149CA"/>
    <w:rsid w:val="00614B29"/>
    <w:rsid w:val="00614C61"/>
    <w:rsid w:val="00614D36"/>
    <w:rsid w:val="00614DC4"/>
    <w:rsid w:val="00614EE6"/>
    <w:rsid w:val="00614FE5"/>
    <w:rsid w:val="00615912"/>
    <w:rsid w:val="00615B0A"/>
    <w:rsid w:val="00615C26"/>
    <w:rsid w:val="00615CCD"/>
    <w:rsid w:val="00615CD1"/>
    <w:rsid w:val="00615D5C"/>
    <w:rsid w:val="00615DC7"/>
    <w:rsid w:val="00615E20"/>
    <w:rsid w:val="00615FE4"/>
    <w:rsid w:val="00616086"/>
    <w:rsid w:val="00616177"/>
    <w:rsid w:val="00616447"/>
    <w:rsid w:val="006165F1"/>
    <w:rsid w:val="006167FC"/>
    <w:rsid w:val="00616B3A"/>
    <w:rsid w:val="00616C7E"/>
    <w:rsid w:val="00616D0C"/>
    <w:rsid w:val="00616D12"/>
    <w:rsid w:val="00617171"/>
    <w:rsid w:val="006171B4"/>
    <w:rsid w:val="006171FF"/>
    <w:rsid w:val="00617407"/>
    <w:rsid w:val="00617471"/>
    <w:rsid w:val="00617472"/>
    <w:rsid w:val="006174E7"/>
    <w:rsid w:val="006175DC"/>
    <w:rsid w:val="0061785E"/>
    <w:rsid w:val="00617906"/>
    <w:rsid w:val="00617FDD"/>
    <w:rsid w:val="00620291"/>
    <w:rsid w:val="006203C4"/>
    <w:rsid w:val="006204AA"/>
    <w:rsid w:val="006204D1"/>
    <w:rsid w:val="006205B2"/>
    <w:rsid w:val="00620798"/>
    <w:rsid w:val="00620805"/>
    <w:rsid w:val="006208D4"/>
    <w:rsid w:val="006209E9"/>
    <w:rsid w:val="00620A8C"/>
    <w:rsid w:val="00620AA7"/>
    <w:rsid w:val="00620B13"/>
    <w:rsid w:val="00620B85"/>
    <w:rsid w:val="00620C2A"/>
    <w:rsid w:val="00620CA0"/>
    <w:rsid w:val="00620CA2"/>
    <w:rsid w:val="00620D04"/>
    <w:rsid w:val="00620D12"/>
    <w:rsid w:val="00620D39"/>
    <w:rsid w:val="00620E31"/>
    <w:rsid w:val="00620EC8"/>
    <w:rsid w:val="00620F05"/>
    <w:rsid w:val="00620F85"/>
    <w:rsid w:val="00620F95"/>
    <w:rsid w:val="00620FDF"/>
    <w:rsid w:val="006210CF"/>
    <w:rsid w:val="0062116C"/>
    <w:rsid w:val="00621A7C"/>
    <w:rsid w:val="00621A9A"/>
    <w:rsid w:val="00621AED"/>
    <w:rsid w:val="00621DA1"/>
    <w:rsid w:val="00621E7C"/>
    <w:rsid w:val="00621FB2"/>
    <w:rsid w:val="0062211C"/>
    <w:rsid w:val="0062212A"/>
    <w:rsid w:val="00622130"/>
    <w:rsid w:val="00622212"/>
    <w:rsid w:val="006224DD"/>
    <w:rsid w:val="006224F3"/>
    <w:rsid w:val="00622587"/>
    <w:rsid w:val="00622685"/>
    <w:rsid w:val="006227E9"/>
    <w:rsid w:val="00622A80"/>
    <w:rsid w:val="00622AD7"/>
    <w:rsid w:val="00623439"/>
    <w:rsid w:val="00623515"/>
    <w:rsid w:val="006237B5"/>
    <w:rsid w:val="00623A5C"/>
    <w:rsid w:val="00623A60"/>
    <w:rsid w:val="00623DC6"/>
    <w:rsid w:val="00623E05"/>
    <w:rsid w:val="00623E8A"/>
    <w:rsid w:val="00623EA4"/>
    <w:rsid w:val="00623F66"/>
    <w:rsid w:val="00623FDD"/>
    <w:rsid w:val="006240FC"/>
    <w:rsid w:val="006242BA"/>
    <w:rsid w:val="006248CF"/>
    <w:rsid w:val="00624962"/>
    <w:rsid w:val="00624AC9"/>
    <w:rsid w:val="00624AE5"/>
    <w:rsid w:val="00624E71"/>
    <w:rsid w:val="00625065"/>
    <w:rsid w:val="00625168"/>
    <w:rsid w:val="006251F2"/>
    <w:rsid w:val="0062527F"/>
    <w:rsid w:val="00625294"/>
    <w:rsid w:val="00625314"/>
    <w:rsid w:val="0062553C"/>
    <w:rsid w:val="0062580D"/>
    <w:rsid w:val="006259CA"/>
    <w:rsid w:val="00625A8D"/>
    <w:rsid w:val="00625B80"/>
    <w:rsid w:val="00625D4F"/>
    <w:rsid w:val="00625E79"/>
    <w:rsid w:val="0062605E"/>
    <w:rsid w:val="00626670"/>
    <w:rsid w:val="00626868"/>
    <w:rsid w:val="006269C1"/>
    <w:rsid w:val="00626CC5"/>
    <w:rsid w:val="00626D5F"/>
    <w:rsid w:val="00626D95"/>
    <w:rsid w:val="00626DB5"/>
    <w:rsid w:val="00626DDC"/>
    <w:rsid w:val="00626DE2"/>
    <w:rsid w:val="00626DE4"/>
    <w:rsid w:val="00626F6B"/>
    <w:rsid w:val="00626FEB"/>
    <w:rsid w:val="00627746"/>
    <w:rsid w:val="00627959"/>
    <w:rsid w:val="00627A39"/>
    <w:rsid w:val="00627DE0"/>
    <w:rsid w:val="00627F3D"/>
    <w:rsid w:val="00627F4A"/>
    <w:rsid w:val="00630028"/>
    <w:rsid w:val="00630060"/>
    <w:rsid w:val="006300A5"/>
    <w:rsid w:val="006300C9"/>
    <w:rsid w:val="00630168"/>
    <w:rsid w:val="00630193"/>
    <w:rsid w:val="0063049F"/>
    <w:rsid w:val="00630657"/>
    <w:rsid w:val="00630674"/>
    <w:rsid w:val="00630927"/>
    <w:rsid w:val="00630B66"/>
    <w:rsid w:val="00630C8E"/>
    <w:rsid w:val="00630D0A"/>
    <w:rsid w:val="00630E2C"/>
    <w:rsid w:val="006312D0"/>
    <w:rsid w:val="006312F1"/>
    <w:rsid w:val="00631504"/>
    <w:rsid w:val="00631598"/>
    <w:rsid w:val="006317A2"/>
    <w:rsid w:val="00631893"/>
    <w:rsid w:val="00631982"/>
    <w:rsid w:val="006319A2"/>
    <w:rsid w:val="006319D3"/>
    <w:rsid w:val="00631AFC"/>
    <w:rsid w:val="006320A0"/>
    <w:rsid w:val="0063225E"/>
    <w:rsid w:val="006322C1"/>
    <w:rsid w:val="0063236E"/>
    <w:rsid w:val="00632503"/>
    <w:rsid w:val="00632965"/>
    <w:rsid w:val="00632983"/>
    <w:rsid w:val="00632BA6"/>
    <w:rsid w:val="00632C4C"/>
    <w:rsid w:val="00632C63"/>
    <w:rsid w:val="00632D5A"/>
    <w:rsid w:val="00632E01"/>
    <w:rsid w:val="00632E74"/>
    <w:rsid w:val="00632F34"/>
    <w:rsid w:val="00633329"/>
    <w:rsid w:val="0063353F"/>
    <w:rsid w:val="00633719"/>
    <w:rsid w:val="00633817"/>
    <w:rsid w:val="00633AC9"/>
    <w:rsid w:val="00633BAC"/>
    <w:rsid w:val="00633BD1"/>
    <w:rsid w:val="00633DF2"/>
    <w:rsid w:val="00633DFD"/>
    <w:rsid w:val="00633EAE"/>
    <w:rsid w:val="00633EBF"/>
    <w:rsid w:val="006340D0"/>
    <w:rsid w:val="006342AF"/>
    <w:rsid w:val="006342C0"/>
    <w:rsid w:val="00634344"/>
    <w:rsid w:val="00634363"/>
    <w:rsid w:val="00634486"/>
    <w:rsid w:val="0063453E"/>
    <w:rsid w:val="0063456C"/>
    <w:rsid w:val="006345ED"/>
    <w:rsid w:val="0063475C"/>
    <w:rsid w:val="00634A42"/>
    <w:rsid w:val="00634A78"/>
    <w:rsid w:val="00634B57"/>
    <w:rsid w:val="00634BDC"/>
    <w:rsid w:val="00634DD7"/>
    <w:rsid w:val="00634E33"/>
    <w:rsid w:val="00635032"/>
    <w:rsid w:val="00635232"/>
    <w:rsid w:val="00635423"/>
    <w:rsid w:val="00635484"/>
    <w:rsid w:val="006355F1"/>
    <w:rsid w:val="00635728"/>
    <w:rsid w:val="006357D7"/>
    <w:rsid w:val="006359DC"/>
    <w:rsid w:val="00635D4E"/>
    <w:rsid w:val="00635D53"/>
    <w:rsid w:val="00635F41"/>
    <w:rsid w:val="006362F8"/>
    <w:rsid w:val="00636353"/>
    <w:rsid w:val="006364DD"/>
    <w:rsid w:val="0063650F"/>
    <w:rsid w:val="0063661E"/>
    <w:rsid w:val="0063662D"/>
    <w:rsid w:val="0063667B"/>
    <w:rsid w:val="0063672A"/>
    <w:rsid w:val="0063686D"/>
    <w:rsid w:val="00636A5A"/>
    <w:rsid w:val="00636D79"/>
    <w:rsid w:val="00636DD3"/>
    <w:rsid w:val="00636F69"/>
    <w:rsid w:val="0063721C"/>
    <w:rsid w:val="00637343"/>
    <w:rsid w:val="006373CC"/>
    <w:rsid w:val="00637480"/>
    <w:rsid w:val="0063765D"/>
    <w:rsid w:val="00637709"/>
    <w:rsid w:val="00637726"/>
    <w:rsid w:val="006377BF"/>
    <w:rsid w:val="00637AD0"/>
    <w:rsid w:val="00637CBE"/>
    <w:rsid w:val="00640072"/>
    <w:rsid w:val="0064019D"/>
    <w:rsid w:val="006402CE"/>
    <w:rsid w:val="006403D0"/>
    <w:rsid w:val="006404BA"/>
    <w:rsid w:val="00640693"/>
    <w:rsid w:val="006409C7"/>
    <w:rsid w:val="00640A3E"/>
    <w:rsid w:val="0064108B"/>
    <w:rsid w:val="00641201"/>
    <w:rsid w:val="0064127C"/>
    <w:rsid w:val="006414B1"/>
    <w:rsid w:val="00641514"/>
    <w:rsid w:val="00641639"/>
    <w:rsid w:val="0064174B"/>
    <w:rsid w:val="006417E4"/>
    <w:rsid w:val="00641CEB"/>
    <w:rsid w:val="00642273"/>
    <w:rsid w:val="0064236A"/>
    <w:rsid w:val="006424A8"/>
    <w:rsid w:val="006424E5"/>
    <w:rsid w:val="0064258F"/>
    <w:rsid w:val="0064265A"/>
    <w:rsid w:val="00642766"/>
    <w:rsid w:val="006427CF"/>
    <w:rsid w:val="00642BAB"/>
    <w:rsid w:val="00642C55"/>
    <w:rsid w:val="00642CB1"/>
    <w:rsid w:val="00642D03"/>
    <w:rsid w:val="00642D53"/>
    <w:rsid w:val="00642F3A"/>
    <w:rsid w:val="00643048"/>
    <w:rsid w:val="006432FE"/>
    <w:rsid w:val="006433EC"/>
    <w:rsid w:val="006436F6"/>
    <w:rsid w:val="00643989"/>
    <w:rsid w:val="00643DD7"/>
    <w:rsid w:val="00643E79"/>
    <w:rsid w:val="0064424E"/>
    <w:rsid w:val="006443C6"/>
    <w:rsid w:val="006444BD"/>
    <w:rsid w:val="006445F2"/>
    <w:rsid w:val="00644619"/>
    <w:rsid w:val="00644BEC"/>
    <w:rsid w:val="00644C87"/>
    <w:rsid w:val="00644DE6"/>
    <w:rsid w:val="00644E47"/>
    <w:rsid w:val="00644E87"/>
    <w:rsid w:val="0064509E"/>
    <w:rsid w:val="006451C5"/>
    <w:rsid w:val="0064533F"/>
    <w:rsid w:val="00645371"/>
    <w:rsid w:val="0064542E"/>
    <w:rsid w:val="0064547F"/>
    <w:rsid w:val="00645673"/>
    <w:rsid w:val="00645837"/>
    <w:rsid w:val="0064585E"/>
    <w:rsid w:val="00645954"/>
    <w:rsid w:val="006459A2"/>
    <w:rsid w:val="00645A17"/>
    <w:rsid w:val="00645B41"/>
    <w:rsid w:val="00645D9C"/>
    <w:rsid w:val="00645F11"/>
    <w:rsid w:val="00645FD4"/>
    <w:rsid w:val="00646178"/>
    <w:rsid w:val="006466C1"/>
    <w:rsid w:val="006467F8"/>
    <w:rsid w:val="00646874"/>
    <w:rsid w:val="00646AE6"/>
    <w:rsid w:val="00646E68"/>
    <w:rsid w:val="0064700F"/>
    <w:rsid w:val="0064710A"/>
    <w:rsid w:val="00647546"/>
    <w:rsid w:val="00647607"/>
    <w:rsid w:val="00647676"/>
    <w:rsid w:val="006476BE"/>
    <w:rsid w:val="00647904"/>
    <w:rsid w:val="00647C8A"/>
    <w:rsid w:val="00647C93"/>
    <w:rsid w:val="00647C96"/>
    <w:rsid w:val="00647D98"/>
    <w:rsid w:val="00647E44"/>
    <w:rsid w:val="00647ED2"/>
    <w:rsid w:val="00647EE6"/>
    <w:rsid w:val="0065002A"/>
    <w:rsid w:val="0065028D"/>
    <w:rsid w:val="0065059A"/>
    <w:rsid w:val="00650A9C"/>
    <w:rsid w:val="00650AD5"/>
    <w:rsid w:val="00650DCA"/>
    <w:rsid w:val="00650F03"/>
    <w:rsid w:val="00650FDE"/>
    <w:rsid w:val="006511E6"/>
    <w:rsid w:val="00651259"/>
    <w:rsid w:val="00651292"/>
    <w:rsid w:val="00651329"/>
    <w:rsid w:val="00651773"/>
    <w:rsid w:val="006517F6"/>
    <w:rsid w:val="00651962"/>
    <w:rsid w:val="00651BFA"/>
    <w:rsid w:val="00651D29"/>
    <w:rsid w:val="00651E97"/>
    <w:rsid w:val="006520F1"/>
    <w:rsid w:val="006522CE"/>
    <w:rsid w:val="00652431"/>
    <w:rsid w:val="00652444"/>
    <w:rsid w:val="00652471"/>
    <w:rsid w:val="006524A3"/>
    <w:rsid w:val="006526D1"/>
    <w:rsid w:val="00652997"/>
    <w:rsid w:val="00652B3F"/>
    <w:rsid w:val="00652D11"/>
    <w:rsid w:val="00652D41"/>
    <w:rsid w:val="00652FFA"/>
    <w:rsid w:val="006530FB"/>
    <w:rsid w:val="0065316A"/>
    <w:rsid w:val="0065317A"/>
    <w:rsid w:val="00653272"/>
    <w:rsid w:val="00653395"/>
    <w:rsid w:val="0065341D"/>
    <w:rsid w:val="006536CC"/>
    <w:rsid w:val="006537EB"/>
    <w:rsid w:val="006538D4"/>
    <w:rsid w:val="00653EA9"/>
    <w:rsid w:val="00653F5B"/>
    <w:rsid w:val="00653F9B"/>
    <w:rsid w:val="006540AD"/>
    <w:rsid w:val="006540F7"/>
    <w:rsid w:val="006541E5"/>
    <w:rsid w:val="006543B6"/>
    <w:rsid w:val="0065460F"/>
    <w:rsid w:val="0065486B"/>
    <w:rsid w:val="00654B42"/>
    <w:rsid w:val="00654BA8"/>
    <w:rsid w:val="00654BAA"/>
    <w:rsid w:val="006552F6"/>
    <w:rsid w:val="0065533E"/>
    <w:rsid w:val="0065548F"/>
    <w:rsid w:val="00655512"/>
    <w:rsid w:val="006555B9"/>
    <w:rsid w:val="006555BC"/>
    <w:rsid w:val="006558A7"/>
    <w:rsid w:val="006558D7"/>
    <w:rsid w:val="00655AB7"/>
    <w:rsid w:val="00655D2C"/>
    <w:rsid w:val="00655FDD"/>
    <w:rsid w:val="00656133"/>
    <w:rsid w:val="006562AA"/>
    <w:rsid w:val="00656755"/>
    <w:rsid w:val="006567C5"/>
    <w:rsid w:val="006567D8"/>
    <w:rsid w:val="00656C37"/>
    <w:rsid w:val="00656DE0"/>
    <w:rsid w:val="00656E8A"/>
    <w:rsid w:val="006570D0"/>
    <w:rsid w:val="00657397"/>
    <w:rsid w:val="00657536"/>
    <w:rsid w:val="00657962"/>
    <w:rsid w:val="00657A45"/>
    <w:rsid w:val="00657AAB"/>
    <w:rsid w:val="00657AB3"/>
    <w:rsid w:val="00657B71"/>
    <w:rsid w:val="00660053"/>
    <w:rsid w:val="0066012F"/>
    <w:rsid w:val="006603FA"/>
    <w:rsid w:val="006605A4"/>
    <w:rsid w:val="006605A5"/>
    <w:rsid w:val="00660608"/>
    <w:rsid w:val="0066067B"/>
    <w:rsid w:val="0066067E"/>
    <w:rsid w:val="0066070A"/>
    <w:rsid w:val="0066073A"/>
    <w:rsid w:val="006608AE"/>
    <w:rsid w:val="00660AF5"/>
    <w:rsid w:val="00660B4D"/>
    <w:rsid w:val="00660D97"/>
    <w:rsid w:val="006611A5"/>
    <w:rsid w:val="006611DC"/>
    <w:rsid w:val="006612FB"/>
    <w:rsid w:val="0066145B"/>
    <w:rsid w:val="0066154E"/>
    <w:rsid w:val="00661580"/>
    <w:rsid w:val="0066175A"/>
    <w:rsid w:val="006617E1"/>
    <w:rsid w:val="00661849"/>
    <w:rsid w:val="0066185B"/>
    <w:rsid w:val="00661A70"/>
    <w:rsid w:val="00661E8C"/>
    <w:rsid w:val="006620AB"/>
    <w:rsid w:val="00662252"/>
    <w:rsid w:val="006622B4"/>
    <w:rsid w:val="00662374"/>
    <w:rsid w:val="00662398"/>
    <w:rsid w:val="00662648"/>
    <w:rsid w:val="00662736"/>
    <w:rsid w:val="00662A6B"/>
    <w:rsid w:val="00662A82"/>
    <w:rsid w:val="00662A87"/>
    <w:rsid w:val="00662AB3"/>
    <w:rsid w:val="00662DA4"/>
    <w:rsid w:val="00663055"/>
    <w:rsid w:val="006632C3"/>
    <w:rsid w:val="006633E7"/>
    <w:rsid w:val="0066344F"/>
    <w:rsid w:val="0066354E"/>
    <w:rsid w:val="006637D5"/>
    <w:rsid w:val="006639E3"/>
    <w:rsid w:val="00663D48"/>
    <w:rsid w:val="00663E93"/>
    <w:rsid w:val="00664033"/>
    <w:rsid w:val="00664358"/>
    <w:rsid w:val="006644C8"/>
    <w:rsid w:val="006644EA"/>
    <w:rsid w:val="0066493E"/>
    <w:rsid w:val="00664AAA"/>
    <w:rsid w:val="00664D45"/>
    <w:rsid w:val="00664DAC"/>
    <w:rsid w:val="00665018"/>
    <w:rsid w:val="006650B5"/>
    <w:rsid w:val="00665455"/>
    <w:rsid w:val="006654E3"/>
    <w:rsid w:val="00665652"/>
    <w:rsid w:val="00665681"/>
    <w:rsid w:val="00665954"/>
    <w:rsid w:val="0066596F"/>
    <w:rsid w:val="006659FD"/>
    <w:rsid w:val="00665ABC"/>
    <w:rsid w:val="00665B16"/>
    <w:rsid w:val="00665C8F"/>
    <w:rsid w:val="00665CCF"/>
    <w:rsid w:val="00665DB9"/>
    <w:rsid w:val="00666339"/>
    <w:rsid w:val="00666344"/>
    <w:rsid w:val="00666506"/>
    <w:rsid w:val="00666711"/>
    <w:rsid w:val="00666969"/>
    <w:rsid w:val="00666C1B"/>
    <w:rsid w:val="00666C9A"/>
    <w:rsid w:val="00666D88"/>
    <w:rsid w:val="00666EBB"/>
    <w:rsid w:val="00666F78"/>
    <w:rsid w:val="006670BD"/>
    <w:rsid w:val="0066724D"/>
    <w:rsid w:val="00667261"/>
    <w:rsid w:val="00667291"/>
    <w:rsid w:val="00667344"/>
    <w:rsid w:val="006673B5"/>
    <w:rsid w:val="00667401"/>
    <w:rsid w:val="00667469"/>
    <w:rsid w:val="0066757C"/>
    <w:rsid w:val="0066768B"/>
    <w:rsid w:val="006676C6"/>
    <w:rsid w:val="006677BA"/>
    <w:rsid w:val="00667870"/>
    <w:rsid w:val="00667A87"/>
    <w:rsid w:val="00667CFE"/>
    <w:rsid w:val="00667D47"/>
    <w:rsid w:val="00667E4A"/>
    <w:rsid w:val="00667E82"/>
    <w:rsid w:val="00667F3B"/>
    <w:rsid w:val="006700E3"/>
    <w:rsid w:val="00670105"/>
    <w:rsid w:val="006703C9"/>
    <w:rsid w:val="00670581"/>
    <w:rsid w:val="0067069F"/>
    <w:rsid w:val="006708A3"/>
    <w:rsid w:val="006708D2"/>
    <w:rsid w:val="00670906"/>
    <w:rsid w:val="00670A56"/>
    <w:rsid w:val="00670AF5"/>
    <w:rsid w:val="00670FB0"/>
    <w:rsid w:val="00670FBB"/>
    <w:rsid w:val="00670FD0"/>
    <w:rsid w:val="00671051"/>
    <w:rsid w:val="00671107"/>
    <w:rsid w:val="00671152"/>
    <w:rsid w:val="00671166"/>
    <w:rsid w:val="00671500"/>
    <w:rsid w:val="00671711"/>
    <w:rsid w:val="006719AD"/>
    <w:rsid w:val="00671AC1"/>
    <w:rsid w:val="00671AF2"/>
    <w:rsid w:val="00671EA9"/>
    <w:rsid w:val="00671FF9"/>
    <w:rsid w:val="0067232B"/>
    <w:rsid w:val="0067253B"/>
    <w:rsid w:val="0067258A"/>
    <w:rsid w:val="00672669"/>
    <w:rsid w:val="00672684"/>
    <w:rsid w:val="006726A5"/>
    <w:rsid w:val="00672881"/>
    <w:rsid w:val="00672968"/>
    <w:rsid w:val="00672BAC"/>
    <w:rsid w:val="00672BB1"/>
    <w:rsid w:val="00672F01"/>
    <w:rsid w:val="00673229"/>
    <w:rsid w:val="0067325D"/>
    <w:rsid w:val="006734AE"/>
    <w:rsid w:val="006736DC"/>
    <w:rsid w:val="00673A19"/>
    <w:rsid w:val="00673B02"/>
    <w:rsid w:val="00673B43"/>
    <w:rsid w:val="00673C09"/>
    <w:rsid w:val="00673D04"/>
    <w:rsid w:val="00673D90"/>
    <w:rsid w:val="00673D96"/>
    <w:rsid w:val="00673F95"/>
    <w:rsid w:val="0067407D"/>
    <w:rsid w:val="006740F8"/>
    <w:rsid w:val="006740FC"/>
    <w:rsid w:val="006742B2"/>
    <w:rsid w:val="0067432E"/>
    <w:rsid w:val="00674804"/>
    <w:rsid w:val="00674A0C"/>
    <w:rsid w:val="00674A49"/>
    <w:rsid w:val="00674BE5"/>
    <w:rsid w:val="00674C83"/>
    <w:rsid w:val="00674C86"/>
    <w:rsid w:val="00674E4B"/>
    <w:rsid w:val="00674FC2"/>
    <w:rsid w:val="00674FC4"/>
    <w:rsid w:val="00675027"/>
    <w:rsid w:val="00675059"/>
    <w:rsid w:val="006750DF"/>
    <w:rsid w:val="006755D0"/>
    <w:rsid w:val="0067562A"/>
    <w:rsid w:val="0067572C"/>
    <w:rsid w:val="006757A5"/>
    <w:rsid w:val="006757CC"/>
    <w:rsid w:val="0067581F"/>
    <w:rsid w:val="0067595B"/>
    <w:rsid w:val="00675AA9"/>
    <w:rsid w:val="00675B35"/>
    <w:rsid w:val="00675E30"/>
    <w:rsid w:val="00675F74"/>
    <w:rsid w:val="0067613F"/>
    <w:rsid w:val="006762D7"/>
    <w:rsid w:val="006762E6"/>
    <w:rsid w:val="00676391"/>
    <w:rsid w:val="00676446"/>
    <w:rsid w:val="00676449"/>
    <w:rsid w:val="00676499"/>
    <w:rsid w:val="006764F4"/>
    <w:rsid w:val="00676595"/>
    <w:rsid w:val="00676759"/>
    <w:rsid w:val="0067683A"/>
    <w:rsid w:val="00676B1A"/>
    <w:rsid w:val="00676B4E"/>
    <w:rsid w:val="00676B67"/>
    <w:rsid w:val="00676CB1"/>
    <w:rsid w:val="00676D85"/>
    <w:rsid w:val="00676F01"/>
    <w:rsid w:val="00677107"/>
    <w:rsid w:val="006771EB"/>
    <w:rsid w:val="00677293"/>
    <w:rsid w:val="0067749A"/>
    <w:rsid w:val="0067759B"/>
    <w:rsid w:val="006777B6"/>
    <w:rsid w:val="00677987"/>
    <w:rsid w:val="006779CB"/>
    <w:rsid w:val="00677A5D"/>
    <w:rsid w:val="00677AB8"/>
    <w:rsid w:val="00677D6F"/>
    <w:rsid w:val="00680042"/>
    <w:rsid w:val="0068013B"/>
    <w:rsid w:val="006804AE"/>
    <w:rsid w:val="00680667"/>
    <w:rsid w:val="0068066B"/>
    <w:rsid w:val="006806B4"/>
    <w:rsid w:val="00680786"/>
    <w:rsid w:val="006807C2"/>
    <w:rsid w:val="006808AD"/>
    <w:rsid w:val="00680957"/>
    <w:rsid w:val="00680A25"/>
    <w:rsid w:val="00680B58"/>
    <w:rsid w:val="00680B7E"/>
    <w:rsid w:val="00680D7E"/>
    <w:rsid w:val="00680F2B"/>
    <w:rsid w:val="0068125B"/>
    <w:rsid w:val="006812A6"/>
    <w:rsid w:val="006813F5"/>
    <w:rsid w:val="00681606"/>
    <w:rsid w:val="00681613"/>
    <w:rsid w:val="00681765"/>
    <w:rsid w:val="00681870"/>
    <w:rsid w:val="006818FC"/>
    <w:rsid w:val="00681993"/>
    <w:rsid w:val="00681D35"/>
    <w:rsid w:val="00681EEC"/>
    <w:rsid w:val="00681FA7"/>
    <w:rsid w:val="006820CE"/>
    <w:rsid w:val="00682259"/>
    <w:rsid w:val="0068260B"/>
    <w:rsid w:val="00682796"/>
    <w:rsid w:val="006827ED"/>
    <w:rsid w:val="006828DE"/>
    <w:rsid w:val="0068290C"/>
    <w:rsid w:val="00682A22"/>
    <w:rsid w:val="00682C04"/>
    <w:rsid w:val="00682C3A"/>
    <w:rsid w:val="00682CA7"/>
    <w:rsid w:val="00683066"/>
    <w:rsid w:val="00683073"/>
    <w:rsid w:val="00683086"/>
    <w:rsid w:val="0068325B"/>
    <w:rsid w:val="006833DF"/>
    <w:rsid w:val="006834F1"/>
    <w:rsid w:val="00683603"/>
    <w:rsid w:val="00683A97"/>
    <w:rsid w:val="00683AEA"/>
    <w:rsid w:val="00683DC3"/>
    <w:rsid w:val="00683F14"/>
    <w:rsid w:val="00683F7E"/>
    <w:rsid w:val="00683F9E"/>
    <w:rsid w:val="006840C6"/>
    <w:rsid w:val="006840FE"/>
    <w:rsid w:val="006842BF"/>
    <w:rsid w:val="00684491"/>
    <w:rsid w:val="006844BC"/>
    <w:rsid w:val="0068459E"/>
    <w:rsid w:val="00684CAA"/>
    <w:rsid w:val="00684D36"/>
    <w:rsid w:val="00684E98"/>
    <w:rsid w:val="00684EF5"/>
    <w:rsid w:val="00685A72"/>
    <w:rsid w:val="00685CAD"/>
    <w:rsid w:val="00685F3E"/>
    <w:rsid w:val="00685F4C"/>
    <w:rsid w:val="00686059"/>
    <w:rsid w:val="0068606F"/>
    <w:rsid w:val="006860AF"/>
    <w:rsid w:val="00686120"/>
    <w:rsid w:val="00686411"/>
    <w:rsid w:val="0068651E"/>
    <w:rsid w:val="0068666F"/>
    <w:rsid w:val="006867CF"/>
    <w:rsid w:val="00686886"/>
    <w:rsid w:val="00686C9C"/>
    <w:rsid w:val="00686CC1"/>
    <w:rsid w:val="00686D2D"/>
    <w:rsid w:val="00686F23"/>
    <w:rsid w:val="00687040"/>
    <w:rsid w:val="00687135"/>
    <w:rsid w:val="006871E9"/>
    <w:rsid w:val="006874A3"/>
    <w:rsid w:val="0068774E"/>
    <w:rsid w:val="00687977"/>
    <w:rsid w:val="00687D54"/>
    <w:rsid w:val="00687DB3"/>
    <w:rsid w:val="00687F55"/>
    <w:rsid w:val="00690240"/>
    <w:rsid w:val="00690298"/>
    <w:rsid w:val="006902BE"/>
    <w:rsid w:val="0069054A"/>
    <w:rsid w:val="006909A7"/>
    <w:rsid w:val="00690B1F"/>
    <w:rsid w:val="00690CB9"/>
    <w:rsid w:val="00690DBA"/>
    <w:rsid w:val="00690E07"/>
    <w:rsid w:val="00690E39"/>
    <w:rsid w:val="00690EFA"/>
    <w:rsid w:val="00690F6E"/>
    <w:rsid w:val="006918A1"/>
    <w:rsid w:val="006919E1"/>
    <w:rsid w:val="00691D07"/>
    <w:rsid w:val="00691D81"/>
    <w:rsid w:val="00691EA9"/>
    <w:rsid w:val="00691F39"/>
    <w:rsid w:val="0069201F"/>
    <w:rsid w:val="006920C7"/>
    <w:rsid w:val="006921CA"/>
    <w:rsid w:val="00692261"/>
    <w:rsid w:val="0069279D"/>
    <w:rsid w:val="0069282A"/>
    <w:rsid w:val="00692A48"/>
    <w:rsid w:val="00692A75"/>
    <w:rsid w:val="006930FF"/>
    <w:rsid w:val="0069322A"/>
    <w:rsid w:val="006934DF"/>
    <w:rsid w:val="0069380F"/>
    <w:rsid w:val="0069389C"/>
    <w:rsid w:val="00693BF0"/>
    <w:rsid w:val="00693C18"/>
    <w:rsid w:val="00693D58"/>
    <w:rsid w:val="00693DE6"/>
    <w:rsid w:val="00694102"/>
    <w:rsid w:val="006943BA"/>
    <w:rsid w:val="0069442A"/>
    <w:rsid w:val="0069469E"/>
    <w:rsid w:val="006947AE"/>
    <w:rsid w:val="006947DD"/>
    <w:rsid w:val="006948A0"/>
    <w:rsid w:val="00694CA6"/>
    <w:rsid w:val="00694D93"/>
    <w:rsid w:val="00694E79"/>
    <w:rsid w:val="00694ECA"/>
    <w:rsid w:val="00694F12"/>
    <w:rsid w:val="0069511F"/>
    <w:rsid w:val="00695178"/>
    <w:rsid w:val="0069530E"/>
    <w:rsid w:val="006957B0"/>
    <w:rsid w:val="00695D08"/>
    <w:rsid w:val="00695D1B"/>
    <w:rsid w:val="00695DC6"/>
    <w:rsid w:val="00695E09"/>
    <w:rsid w:val="00695FDD"/>
    <w:rsid w:val="0069607E"/>
    <w:rsid w:val="00696252"/>
    <w:rsid w:val="00696338"/>
    <w:rsid w:val="00696349"/>
    <w:rsid w:val="006965E8"/>
    <w:rsid w:val="006966BB"/>
    <w:rsid w:val="00696993"/>
    <w:rsid w:val="006969D7"/>
    <w:rsid w:val="00696AC2"/>
    <w:rsid w:val="00696AF0"/>
    <w:rsid w:val="00696C4D"/>
    <w:rsid w:val="00696D02"/>
    <w:rsid w:val="00696E53"/>
    <w:rsid w:val="00696ED2"/>
    <w:rsid w:val="00696F2B"/>
    <w:rsid w:val="00696F60"/>
    <w:rsid w:val="00697841"/>
    <w:rsid w:val="006978EF"/>
    <w:rsid w:val="0069795A"/>
    <w:rsid w:val="00697D27"/>
    <w:rsid w:val="00697E36"/>
    <w:rsid w:val="00697E73"/>
    <w:rsid w:val="006A0013"/>
    <w:rsid w:val="006A00EB"/>
    <w:rsid w:val="006A0194"/>
    <w:rsid w:val="006A0448"/>
    <w:rsid w:val="006A050C"/>
    <w:rsid w:val="006A05EC"/>
    <w:rsid w:val="006A06E5"/>
    <w:rsid w:val="006A07EF"/>
    <w:rsid w:val="006A0AAF"/>
    <w:rsid w:val="006A0F25"/>
    <w:rsid w:val="006A102C"/>
    <w:rsid w:val="006A10B8"/>
    <w:rsid w:val="006A1106"/>
    <w:rsid w:val="006A1137"/>
    <w:rsid w:val="006A1231"/>
    <w:rsid w:val="006A12D7"/>
    <w:rsid w:val="006A1347"/>
    <w:rsid w:val="006A14A1"/>
    <w:rsid w:val="006A16DE"/>
    <w:rsid w:val="006A1806"/>
    <w:rsid w:val="006A18B2"/>
    <w:rsid w:val="006A191D"/>
    <w:rsid w:val="006A1AFA"/>
    <w:rsid w:val="006A1B36"/>
    <w:rsid w:val="006A1B42"/>
    <w:rsid w:val="006A1BFE"/>
    <w:rsid w:val="006A1DC7"/>
    <w:rsid w:val="006A2118"/>
    <w:rsid w:val="006A22BC"/>
    <w:rsid w:val="006A22DD"/>
    <w:rsid w:val="006A231F"/>
    <w:rsid w:val="006A23C0"/>
    <w:rsid w:val="006A245D"/>
    <w:rsid w:val="006A25C1"/>
    <w:rsid w:val="006A278D"/>
    <w:rsid w:val="006A27DD"/>
    <w:rsid w:val="006A28CB"/>
    <w:rsid w:val="006A293A"/>
    <w:rsid w:val="006A2B91"/>
    <w:rsid w:val="006A2B99"/>
    <w:rsid w:val="006A2D9E"/>
    <w:rsid w:val="006A2E1F"/>
    <w:rsid w:val="006A2F72"/>
    <w:rsid w:val="006A2FD3"/>
    <w:rsid w:val="006A302C"/>
    <w:rsid w:val="006A31A0"/>
    <w:rsid w:val="006A33C2"/>
    <w:rsid w:val="006A3415"/>
    <w:rsid w:val="006A3712"/>
    <w:rsid w:val="006A3724"/>
    <w:rsid w:val="006A37A3"/>
    <w:rsid w:val="006A37BC"/>
    <w:rsid w:val="006A3B56"/>
    <w:rsid w:val="006A3D9B"/>
    <w:rsid w:val="006A3F4A"/>
    <w:rsid w:val="006A3F8B"/>
    <w:rsid w:val="006A4154"/>
    <w:rsid w:val="006A41B0"/>
    <w:rsid w:val="006A41C2"/>
    <w:rsid w:val="006A41DE"/>
    <w:rsid w:val="006A4494"/>
    <w:rsid w:val="006A468B"/>
    <w:rsid w:val="006A46D3"/>
    <w:rsid w:val="006A4838"/>
    <w:rsid w:val="006A4A0D"/>
    <w:rsid w:val="006A4A93"/>
    <w:rsid w:val="006A4C2B"/>
    <w:rsid w:val="006A4D95"/>
    <w:rsid w:val="006A5258"/>
    <w:rsid w:val="006A57B1"/>
    <w:rsid w:val="006A57D8"/>
    <w:rsid w:val="006A5858"/>
    <w:rsid w:val="006A588C"/>
    <w:rsid w:val="006A5B10"/>
    <w:rsid w:val="006A5C4D"/>
    <w:rsid w:val="006A5F13"/>
    <w:rsid w:val="006A5FE0"/>
    <w:rsid w:val="006A603B"/>
    <w:rsid w:val="006A61A0"/>
    <w:rsid w:val="006A6665"/>
    <w:rsid w:val="006A67E9"/>
    <w:rsid w:val="006A6871"/>
    <w:rsid w:val="006A6C09"/>
    <w:rsid w:val="006A6D19"/>
    <w:rsid w:val="006A6E58"/>
    <w:rsid w:val="006A7377"/>
    <w:rsid w:val="006A7683"/>
    <w:rsid w:val="006A7767"/>
    <w:rsid w:val="006A7882"/>
    <w:rsid w:val="006A7979"/>
    <w:rsid w:val="006A7A0B"/>
    <w:rsid w:val="006A7B8B"/>
    <w:rsid w:val="006A7E6A"/>
    <w:rsid w:val="006B02CB"/>
    <w:rsid w:val="006B052A"/>
    <w:rsid w:val="006B05A1"/>
    <w:rsid w:val="006B065C"/>
    <w:rsid w:val="006B0690"/>
    <w:rsid w:val="006B0879"/>
    <w:rsid w:val="006B0DA4"/>
    <w:rsid w:val="006B0DAE"/>
    <w:rsid w:val="006B0F4E"/>
    <w:rsid w:val="006B1169"/>
    <w:rsid w:val="006B1191"/>
    <w:rsid w:val="006B11E3"/>
    <w:rsid w:val="006B15A6"/>
    <w:rsid w:val="006B1A2B"/>
    <w:rsid w:val="006B1BBD"/>
    <w:rsid w:val="006B1DFF"/>
    <w:rsid w:val="006B1E31"/>
    <w:rsid w:val="006B20CA"/>
    <w:rsid w:val="006B241E"/>
    <w:rsid w:val="006B24B8"/>
    <w:rsid w:val="006B24FE"/>
    <w:rsid w:val="006B25F3"/>
    <w:rsid w:val="006B26E4"/>
    <w:rsid w:val="006B2978"/>
    <w:rsid w:val="006B29BF"/>
    <w:rsid w:val="006B2A44"/>
    <w:rsid w:val="006B2C40"/>
    <w:rsid w:val="006B2D98"/>
    <w:rsid w:val="006B30A9"/>
    <w:rsid w:val="006B30D9"/>
    <w:rsid w:val="006B3288"/>
    <w:rsid w:val="006B340B"/>
    <w:rsid w:val="006B37D1"/>
    <w:rsid w:val="006B3833"/>
    <w:rsid w:val="006B38EB"/>
    <w:rsid w:val="006B3949"/>
    <w:rsid w:val="006B398E"/>
    <w:rsid w:val="006B39C4"/>
    <w:rsid w:val="006B3A17"/>
    <w:rsid w:val="006B3BE8"/>
    <w:rsid w:val="006B3D09"/>
    <w:rsid w:val="006B3EB1"/>
    <w:rsid w:val="006B3F4C"/>
    <w:rsid w:val="006B40A4"/>
    <w:rsid w:val="006B40CB"/>
    <w:rsid w:val="006B4173"/>
    <w:rsid w:val="006B468E"/>
    <w:rsid w:val="006B4749"/>
    <w:rsid w:val="006B4BE7"/>
    <w:rsid w:val="006B4CD7"/>
    <w:rsid w:val="006B4D0C"/>
    <w:rsid w:val="006B4D2A"/>
    <w:rsid w:val="006B5076"/>
    <w:rsid w:val="006B50FD"/>
    <w:rsid w:val="006B5469"/>
    <w:rsid w:val="006B571A"/>
    <w:rsid w:val="006B572B"/>
    <w:rsid w:val="006B57B3"/>
    <w:rsid w:val="006B59E8"/>
    <w:rsid w:val="006B5ABD"/>
    <w:rsid w:val="006B5B5D"/>
    <w:rsid w:val="006B5BE4"/>
    <w:rsid w:val="006B5C6E"/>
    <w:rsid w:val="006B5E97"/>
    <w:rsid w:val="006B61FF"/>
    <w:rsid w:val="006B624B"/>
    <w:rsid w:val="006B6355"/>
    <w:rsid w:val="006B63D5"/>
    <w:rsid w:val="006B67A2"/>
    <w:rsid w:val="006B680B"/>
    <w:rsid w:val="006B6F9D"/>
    <w:rsid w:val="006B7143"/>
    <w:rsid w:val="006B71B3"/>
    <w:rsid w:val="006B725C"/>
    <w:rsid w:val="006B75E6"/>
    <w:rsid w:val="006B7998"/>
    <w:rsid w:val="006B7CC8"/>
    <w:rsid w:val="006B7F47"/>
    <w:rsid w:val="006C0052"/>
    <w:rsid w:val="006C00CF"/>
    <w:rsid w:val="006C010D"/>
    <w:rsid w:val="006C0145"/>
    <w:rsid w:val="006C0807"/>
    <w:rsid w:val="006C0831"/>
    <w:rsid w:val="006C08DD"/>
    <w:rsid w:val="006C09F3"/>
    <w:rsid w:val="006C0D34"/>
    <w:rsid w:val="006C0E56"/>
    <w:rsid w:val="006C11E4"/>
    <w:rsid w:val="006C12E9"/>
    <w:rsid w:val="006C133E"/>
    <w:rsid w:val="006C1496"/>
    <w:rsid w:val="006C14F2"/>
    <w:rsid w:val="006C1502"/>
    <w:rsid w:val="006C1530"/>
    <w:rsid w:val="006C15BE"/>
    <w:rsid w:val="006C1682"/>
    <w:rsid w:val="006C195F"/>
    <w:rsid w:val="006C1D4F"/>
    <w:rsid w:val="006C1FA7"/>
    <w:rsid w:val="006C200D"/>
    <w:rsid w:val="006C2578"/>
    <w:rsid w:val="006C25D6"/>
    <w:rsid w:val="006C272B"/>
    <w:rsid w:val="006C2841"/>
    <w:rsid w:val="006C285E"/>
    <w:rsid w:val="006C28E5"/>
    <w:rsid w:val="006C290C"/>
    <w:rsid w:val="006C2B99"/>
    <w:rsid w:val="006C2B9B"/>
    <w:rsid w:val="006C2BDE"/>
    <w:rsid w:val="006C2C1C"/>
    <w:rsid w:val="006C2EDC"/>
    <w:rsid w:val="006C2F9F"/>
    <w:rsid w:val="006C3128"/>
    <w:rsid w:val="006C3143"/>
    <w:rsid w:val="006C35A8"/>
    <w:rsid w:val="006C36E2"/>
    <w:rsid w:val="006C374B"/>
    <w:rsid w:val="006C3C08"/>
    <w:rsid w:val="006C3E57"/>
    <w:rsid w:val="006C3E65"/>
    <w:rsid w:val="006C40D6"/>
    <w:rsid w:val="006C46FC"/>
    <w:rsid w:val="006C4745"/>
    <w:rsid w:val="006C4918"/>
    <w:rsid w:val="006C4AD9"/>
    <w:rsid w:val="006C4C5D"/>
    <w:rsid w:val="006C4E2B"/>
    <w:rsid w:val="006C4E94"/>
    <w:rsid w:val="006C513F"/>
    <w:rsid w:val="006C5AB1"/>
    <w:rsid w:val="006C5C1B"/>
    <w:rsid w:val="006C5E9F"/>
    <w:rsid w:val="006C6347"/>
    <w:rsid w:val="006C63A4"/>
    <w:rsid w:val="006C66FD"/>
    <w:rsid w:val="006C6764"/>
    <w:rsid w:val="006C6A37"/>
    <w:rsid w:val="006C6A73"/>
    <w:rsid w:val="006C70FE"/>
    <w:rsid w:val="006C7318"/>
    <w:rsid w:val="006C752C"/>
    <w:rsid w:val="006C754E"/>
    <w:rsid w:val="006C765F"/>
    <w:rsid w:val="006C787B"/>
    <w:rsid w:val="006C790A"/>
    <w:rsid w:val="006C7986"/>
    <w:rsid w:val="006C79DF"/>
    <w:rsid w:val="006C7AE0"/>
    <w:rsid w:val="006C7D0A"/>
    <w:rsid w:val="006C7F77"/>
    <w:rsid w:val="006D008D"/>
    <w:rsid w:val="006D00A7"/>
    <w:rsid w:val="006D00D4"/>
    <w:rsid w:val="006D02AB"/>
    <w:rsid w:val="006D031C"/>
    <w:rsid w:val="006D04E0"/>
    <w:rsid w:val="006D055D"/>
    <w:rsid w:val="006D058D"/>
    <w:rsid w:val="006D08C5"/>
    <w:rsid w:val="006D0A67"/>
    <w:rsid w:val="006D0B15"/>
    <w:rsid w:val="006D0BA7"/>
    <w:rsid w:val="006D0C08"/>
    <w:rsid w:val="006D0DF2"/>
    <w:rsid w:val="006D0E3C"/>
    <w:rsid w:val="006D0F20"/>
    <w:rsid w:val="006D109C"/>
    <w:rsid w:val="006D117A"/>
    <w:rsid w:val="006D11C9"/>
    <w:rsid w:val="006D146F"/>
    <w:rsid w:val="006D17F9"/>
    <w:rsid w:val="006D1962"/>
    <w:rsid w:val="006D1987"/>
    <w:rsid w:val="006D1ADD"/>
    <w:rsid w:val="006D1C3C"/>
    <w:rsid w:val="006D2059"/>
    <w:rsid w:val="006D205D"/>
    <w:rsid w:val="006D2137"/>
    <w:rsid w:val="006D2308"/>
    <w:rsid w:val="006D26F2"/>
    <w:rsid w:val="006D27D5"/>
    <w:rsid w:val="006D28D8"/>
    <w:rsid w:val="006D2BC5"/>
    <w:rsid w:val="006D2D11"/>
    <w:rsid w:val="006D2E88"/>
    <w:rsid w:val="006D2F63"/>
    <w:rsid w:val="006D3071"/>
    <w:rsid w:val="006D3353"/>
    <w:rsid w:val="006D335B"/>
    <w:rsid w:val="006D355A"/>
    <w:rsid w:val="006D3702"/>
    <w:rsid w:val="006D3812"/>
    <w:rsid w:val="006D3A13"/>
    <w:rsid w:val="006D3A84"/>
    <w:rsid w:val="006D3AF6"/>
    <w:rsid w:val="006D3B23"/>
    <w:rsid w:val="006D3B7F"/>
    <w:rsid w:val="006D3BF5"/>
    <w:rsid w:val="006D3D61"/>
    <w:rsid w:val="006D3DE6"/>
    <w:rsid w:val="006D4161"/>
    <w:rsid w:val="006D41C9"/>
    <w:rsid w:val="006D427F"/>
    <w:rsid w:val="006D4340"/>
    <w:rsid w:val="006D4589"/>
    <w:rsid w:val="006D461D"/>
    <w:rsid w:val="006D4624"/>
    <w:rsid w:val="006D46AF"/>
    <w:rsid w:val="006D46C3"/>
    <w:rsid w:val="006D46DD"/>
    <w:rsid w:val="006D4803"/>
    <w:rsid w:val="006D4808"/>
    <w:rsid w:val="006D48E6"/>
    <w:rsid w:val="006D4920"/>
    <w:rsid w:val="006D4A3A"/>
    <w:rsid w:val="006D4AF4"/>
    <w:rsid w:val="006D4E10"/>
    <w:rsid w:val="006D4E56"/>
    <w:rsid w:val="006D4EFA"/>
    <w:rsid w:val="006D5057"/>
    <w:rsid w:val="006D5120"/>
    <w:rsid w:val="006D529E"/>
    <w:rsid w:val="006D53AA"/>
    <w:rsid w:val="006D540A"/>
    <w:rsid w:val="006D5446"/>
    <w:rsid w:val="006D59ED"/>
    <w:rsid w:val="006D5AD4"/>
    <w:rsid w:val="006D5D14"/>
    <w:rsid w:val="006D5E00"/>
    <w:rsid w:val="006D5F10"/>
    <w:rsid w:val="006D5FA3"/>
    <w:rsid w:val="006D6001"/>
    <w:rsid w:val="006D6006"/>
    <w:rsid w:val="006D6179"/>
    <w:rsid w:val="006D6269"/>
    <w:rsid w:val="006D62EC"/>
    <w:rsid w:val="006D6541"/>
    <w:rsid w:val="006D6841"/>
    <w:rsid w:val="006D6883"/>
    <w:rsid w:val="006D68F6"/>
    <w:rsid w:val="006D6950"/>
    <w:rsid w:val="006D6B1E"/>
    <w:rsid w:val="006D6B8A"/>
    <w:rsid w:val="006D6D54"/>
    <w:rsid w:val="006D6F99"/>
    <w:rsid w:val="006D7151"/>
    <w:rsid w:val="006D732F"/>
    <w:rsid w:val="006D74FA"/>
    <w:rsid w:val="006D77D4"/>
    <w:rsid w:val="006D79E4"/>
    <w:rsid w:val="006D7A63"/>
    <w:rsid w:val="006D7AFC"/>
    <w:rsid w:val="006D7B46"/>
    <w:rsid w:val="006D7BEF"/>
    <w:rsid w:val="006D7C24"/>
    <w:rsid w:val="006D7E38"/>
    <w:rsid w:val="006D7FE7"/>
    <w:rsid w:val="006E008E"/>
    <w:rsid w:val="006E00C1"/>
    <w:rsid w:val="006E0157"/>
    <w:rsid w:val="006E01F2"/>
    <w:rsid w:val="006E0268"/>
    <w:rsid w:val="006E0367"/>
    <w:rsid w:val="006E0396"/>
    <w:rsid w:val="006E0490"/>
    <w:rsid w:val="006E04A5"/>
    <w:rsid w:val="006E059A"/>
    <w:rsid w:val="006E05C7"/>
    <w:rsid w:val="006E0689"/>
    <w:rsid w:val="006E08D8"/>
    <w:rsid w:val="006E0958"/>
    <w:rsid w:val="006E0CBB"/>
    <w:rsid w:val="006E0EB3"/>
    <w:rsid w:val="006E10D4"/>
    <w:rsid w:val="006E110A"/>
    <w:rsid w:val="006E150D"/>
    <w:rsid w:val="006E1761"/>
    <w:rsid w:val="006E1810"/>
    <w:rsid w:val="006E18CC"/>
    <w:rsid w:val="006E19F4"/>
    <w:rsid w:val="006E1A04"/>
    <w:rsid w:val="006E1A0C"/>
    <w:rsid w:val="006E1A4A"/>
    <w:rsid w:val="006E1DEC"/>
    <w:rsid w:val="006E1E12"/>
    <w:rsid w:val="006E1EF3"/>
    <w:rsid w:val="006E1FA0"/>
    <w:rsid w:val="006E206E"/>
    <w:rsid w:val="006E2132"/>
    <w:rsid w:val="006E2176"/>
    <w:rsid w:val="006E218F"/>
    <w:rsid w:val="006E23B9"/>
    <w:rsid w:val="006E245B"/>
    <w:rsid w:val="006E264C"/>
    <w:rsid w:val="006E264E"/>
    <w:rsid w:val="006E2809"/>
    <w:rsid w:val="006E2884"/>
    <w:rsid w:val="006E2BB4"/>
    <w:rsid w:val="006E3001"/>
    <w:rsid w:val="006E310A"/>
    <w:rsid w:val="006E3191"/>
    <w:rsid w:val="006E3259"/>
    <w:rsid w:val="006E33A2"/>
    <w:rsid w:val="006E34F3"/>
    <w:rsid w:val="006E35FB"/>
    <w:rsid w:val="006E36D3"/>
    <w:rsid w:val="006E37DF"/>
    <w:rsid w:val="006E39E6"/>
    <w:rsid w:val="006E39F4"/>
    <w:rsid w:val="006E3A45"/>
    <w:rsid w:val="006E3BCC"/>
    <w:rsid w:val="006E3C0D"/>
    <w:rsid w:val="006E3CEF"/>
    <w:rsid w:val="006E3F22"/>
    <w:rsid w:val="006E4138"/>
    <w:rsid w:val="006E4284"/>
    <w:rsid w:val="006E451D"/>
    <w:rsid w:val="006E4548"/>
    <w:rsid w:val="006E458A"/>
    <w:rsid w:val="006E4701"/>
    <w:rsid w:val="006E4843"/>
    <w:rsid w:val="006E4B2F"/>
    <w:rsid w:val="006E4BB1"/>
    <w:rsid w:val="006E4BE2"/>
    <w:rsid w:val="006E4C5E"/>
    <w:rsid w:val="006E4C70"/>
    <w:rsid w:val="006E4FC0"/>
    <w:rsid w:val="006E5033"/>
    <w:rsid w:val="006E5311"/>
    <w:rsid w:val="006E532D"/>
    <w:rsid w:val="006E546A"/>
    <w:rsid w:val="006E5597"/>
    <w:rsid w:val="006E559A"/>
    <w:rsid w:val="006E5645"/>
    <w:rsid w:val="006E5801"/>
    <w:rsid w:val="006E5C42"/>
    <w:rsid w:val="006E5C8A"/>
    <w:rsid w:val="006E5CB7"/>
    <w:rsid w:val="006E5D37"/>
    <w:rsid w:val="006E6432"/>
    <w:rsid w:val="006E6706"/>
    <w:rsid w:val="006E6721"/>
    <w:rsid w:val="006E69B9"/>
    <w:rsid w:val="006E6A7A"/>
    <w:rsid w:val="006E6B03"/>
    <w:rsid w:val="006E6B62"/>
    <w:rsid w:val="006E6EF0"/>
    <w:rsid w:val="006E6F42"/>
    <w:rsid w:val="006E7051"/>
    <w:rsid w:val="006E7071"/>
    <w:rsid w:val="006E72D9"/>
    <w:rsid w:val="006E73B6"/>
    <w:rsid w:val="006E7506"/>
    <w:rsid w:val="006E752B"/>
    <w:rsid w:val="006E761C"/>
    <w:rsid w:val="006E763D"/>
    <w:rsid w:val="006E7749"/>
    <w:rsid w:val="006E7BF3"/>
    <w:rsid w:val="006E7CE3"/>
    <w:rsid w:val="006E7D60"/>
    <w:rsid w:val="006E7F71"/>
    <w:rsid w:val="006F008A"/>
    <w:rsid w:val="006F00E7"/>
    <w:rsid w:val="006F01F2"/>
    <w:rsid w:val="006F0278"/>
    <w:rsid w:val="006F03ED"/>
    <w:rsid w:val="006F0566"/>
    <w:rsid w:val="006F0584"/>
    <w:rsid w:val="006F08EF"/>
    <w:rsid w:val="006F0963"/>
    <w:rsid w:val="006F0BA7"/>
    <w:rsid w:val="006F0C03"/>
    <w:rsid w:val="006F0C5A"/>
    <w:rsid w:val="006F112F"/>
    <w:rsid w:val="006F118C"/>
    <w:rsid w:val="006F1322"/>
    <w:rsid w:val="006F1399"/>
    <w:rsid w:val="006F155C"/>
    <w:rsid w:val="006F1606"/>
    <w:rsid w:val="006F164C"/>
    <w:rsid w:val="006F16DC"/>
    <w:rsid w:val="006F18B1"/>
    <w:rsid w:val="006F1A41"/>
    <w:rsid w:val="006F1A86"/>
    <w:rsid w:val="006F1ABB"/>
    <w:rsid w:val="006F1B40"/>
    <w:rsid w:val="006F1BA6"/>
    <w:rsid w:val="006F1D9A"/>
    <w:rsid w:val="006F1E88"/>
    <w:rsid w:val="006F2263"/>
    <w:rsid w:val="006F2372"/>
    <w:rsid w:val="006F2408"/>
    <w:rsid w:val="006F242D"/>
    <w:rsid w:val="006F2482"/>
    <w:rsid w:val="006F2533"/>
    <w:rsid w:val="006F26AD"/>
    <w:rsid w:val="006F2713"/>
    <w:rsid w:val="006F27E6"/>
    <w:rsid w:val="006F28AD"/>
    <w:rsid w:val="006F28D7"/>
    <w:rsid w:val="006F2B4E"/>
    <w:rsid w:val="006F2C56"/>
    <w:rsid w:val="006F2D06"/>
    <w:rsid w:val="006F2D3C"/>
    <w:rsid w:val="006F31DF"/>
    <w:rsid w:val="006F348A"/>
    <w:rsid w:val="006F3658"/>
    <w:rsid w:val="006F3674"/>
    <w:rsid w:val="006F37FE"/>
    <w:rsid w:val="006F3E07"/>
    <w:rsid w:val="006F410B"/>
    <w:rsid w:val="006F43C6"/>
    <w:rsid w:val="006F44AB"/>
    <w:rsid w:val="006F4628"/>
    <w:rsid w:val="006F47F7"/>
    <w:rsid w:val="006F4902"/>
    <w:rsid w:val="006F4A2B"/>
    <w:rsid w:val="006F4A40"/>
    <w:rsid w:val="006F4A43"/>
    <w:rsid w:val="006F4B75"/>
    <w:rsid w:val="006F4C61"/>
    <w:rsid w:val="006F4FC0"/>
    <w:rsid w:val="006F516B"/>
    <w:rsid w:val="006F5186"/>
    <w:rsid w:val="006F55A0"/>
    <w:rsid w:val="006F5A39"/>
    <w:rsid w:val="006F5B89"/>
    <w:rsid w:val="006F5C8A"/>
    <w:rsid w:val="006F5DDF"/>
    <w:rsid w:val="006F5E7A"/>
    <w:rsid w:val="006F6060"/>
    <w:rsid w:val="006F64C9"/>
    <w:rsid w:val="006F650B"/>
    <w:rsid w:val="006F6611"/>
    <w:rsid w:val="006F6B66"/>
    <w:rsid w:val="006F6ED2"/>
    <w:rsid w:val="006F6F67"/>
    <w:rsid w:val="006F70EA"/>
    <w:rsid w:val="006F71FE"/>
    <w:rsid w:val="006F7333"/>
    <w:rsid w:val="006F7365"/>
    <w:rsid w:val="006F73BD"/>
    <w:rsid w:val="006F74F0"/>
    <w:rsid w:val="006F757A"/>
    <w:rsid w:val="006F792E"/>
    <w:rsid w:val="006F79C6"/>
    <w:rsid w:val="006F7AC9"/>
    <w:rsid w:val="006F7B6E"/>
    <w:rsid w:val="00700264"/>
    <w:rsid w:val="00700358"/>
    <w:rsid w:val="007004BB"/>
    <w:rsid w:val="00700826"/>
    <w:rsid w:val="007008C6"/>
    <w:rsid w:val="00700970"/>
    <w:rsid w:val="00700F11"/>
    <w:rsid w:val="0070146D"/>
    <w:rsid w:val="00701481"/>
    <w:rsid w:val="007014D9"/>
    <w:rsid w:val="00701583"/>
    <w:rsid w:val="00701626"/>
    <w:rsid w:val="007016AE"/>
    <w:rsid w:val="007017EE"/>
    <w:rsid w:val="00701AC2"/>
    <w:rsid w:val="00701ADF"/>
    <w:rsid w:val="00701D6F"/>
    <w:rsid w:val="00701E32"/>
    <w:rsid w:val="00702173"/>
    <w:rsid w:val="00702544"/>
    <w:rsid w:val="007026B3"/>
    <w:rsid w:val="0070282B"/>
    <w:rsid w:val="00702AC0"/>
    <w:rsid w:val="00702C18"/>
    <w:rsid w:val="00702D8D"/>
    <w:rsid w:val="00702F65"/>
    <w:rsid w:val="00703151"/>
    <w:rsid w:val="007031B5"/>
    <w:rsid w:val="007033BF"/>
    <w:rsid w:val="00703498"/>
    <w:rsid w:val="00703639"/>
    <w:rsid w:val="007036CE"/>
    <w:rsid w:val="007039E1"/>
    <w:rsid w:val="00703D3D"/>
    <w:rsid w:val="00703E0B"/>
    <w:rsid w:val="0070403E"/>
    <w:rsid w:val="00704224"/>
    <w:rsid w:val="00704563"/>
    <w:rsid w:val="00704650"/>
    <w:rsid w:val="0070465F"/>
    <w:rsid w:val="007046A0"/>
    <w:rsid w:val="00704795"/>
    <w:rsid w:val="00704850"/>
    <w:rsid w:val="00704BB9"/>
    <w:rsid w:val="00704C56"/>
    <w:rsid w:val="00704C80"/>
    <w:rsid w:val="00704CC8"/>
    <w:rsid w:val="00704E19"/>
    <w:rsid w:val="00704FB9"/>
    <w:rsid w:val="00705275"/>
    <w:rsid w:val="00705515"/>
    <w:rsid w:val="00705803"/>
    <w:rsid w:val="00705AAF"/>
    <w:rsid w:val="00705C9C"/>
    <w:rsid w:val="00705E28"/>
    <w:rsid w:val="00705EA2"/>
    <w:rsid w:val="00706002"/>
    <w:rsid w:val="0070603D"/>
    <w:rsid w:val="00706063"/>
    <w:rsid w:val="007060B6"/>
    <w:rsid w:val="00706152"/>
    <w:rsid w:val="007061C0"/>
    <w:rsid w:val="007062F7"/>
    <w:rsid w:val="007062FE"/>
    <w:rsid w:val="007064BB"/>
    <w:rsid w:val="007064EC"/>
    <w:rsid w:val="00706E8B"/>
    <w:rsid w:val="007073A8"/>
    <w:rsid w:val="007073EC"/>
    <w:rsid w:val="00707537"/>
    <w:rsid w:val="007077EF"/>
    <w:rsid w:val="00707830"/>
    <w:rsid w:val="0070789D"/>
    <w:rsid w:val="00707AC8"/>
    <w:rsid w:val="00707B1E"/>
    <w:rsid w:val="00707C4B"/>
    <w:rsid w:val="00707DA6"/>
    <w:rsid w:val="00707E8E"/>
    <w:rsid w:val="00707EFC"/>
    <w:rsid w:val="00707FE5"/>
    <w:rsid w:val="0071000F"/>
    <w:rsid w:val="00710445"/>
    <w:rsid w:val="007104D5"/>
    <w:rsid w:val="00710718"/>
    <w:rsid w:val="00710C41"/>
    <w:rsid w:val="00710D83"/>
    <w:rsid w:val="00710E71"/>
    <w:rsid w:val="00710F47"/>
    <w:rsid w:val="00710F6E"/>
    <w:rsid w:val="00711187"/>
    <w:rsid w:val="0071151F"/>
    <w:rsid w:val="00711531"/>
    <w:rsid w:val="007116D4"/>
    <w:rsid w:val="007118A9"/>
    <w:rsid w:val="007118B4"/>
    <w:rsid w:val="00711938"/>
    <w:rsid w:val="00711B7A"/>
    <w:rsid w:val="00711D72"/>
    <w:rsid w:val="00711E8F"/>
    <w:rsid w:val="00711F76"/>
    <w:rsid w:val="00712108"/>
    <w:rsid w:val="0071227F"/>
    <w:rsid w:val="00712329"/>
    <w:rsid w:val="00712554"/>
    <w:rsid w:val="00712650"/>
    <w:rsid w:val="00712D9D"/>
    <w:rsid w:val="00712E2B"/>
    <w:rsid w:val="00713370"/>
    <w:rsid w:val="00713627"/>
    <w:rsid w:val="00713631"/>
    <w:rsid w:val="007138E6"/>
    <w:rsid w:val="007139B5"/>
    <w:rsid w:val="00713AEA"/>
    <w:rsid w:val="00713C53"/>
    <w:rsid w:val="00713C72"/>
    <w:rsid w:val="00713C99"/>
    <w:rsid w:val="00713CA3"/>
    <w:rsid w:val="00713CDF"/>
    <w:rsid w:val="00713DA9"/>
    <w:rsid w:val="00713DFA"/>
    <w:rsid w:val="0071401D"/>
    <w:rsid w:val="00714185"/>
    <w:rsid w:val="00714213"/>
    <w:rsid w:val="00714443"/>
    <w:rsid w:val="007145F4"/>
    <w:rsid w:val="007146DA"/>
    <w:rsid w:val="007146F9"/>
    <w:rsid w:val="00714742"/>
    <w:rsid w:val="007147A6"/>
    <w:rsid w:val="00714901"/>
    <w:rsid w:val="00714940"/>
    <w:rsid w:val="00714D5A"/>
    <w:rsid w:val="00714E36"/>
    <w:rsid w:val="00714F21"/>
    <w:rsid w:val="00715208"/>
    <w:rsid w:val="00715434"/>
    <w:rsid w:val="0071561F"/>
    <w:rsid w:val="0071579D"/>
    <w:rsid w:val="007158D5"/>
    <w:rsid w:val="00715917"/>
    <w:rsid w:val="0071592F"/>
    <w:rsid w:val="00715A43"/>
    <w:rsid w:val="00715BB0"/>
    <w:rsid w:val="00715BC4"/>
    <w:rsid w:val="00715C1C"/>
    <w:rsid w:val="00715C6C"/>
    <w:rsid w:val="00715CDD"/>
    <w:rsid w:val="00715CE3"/>
    <w:rsid w:val="00716104"/>
    <w:rsid w:val="00716160"/>
    <w:rsid w:val="007161B9"/>
    <w:rsid w:val="007164A2"/>
    <w:rsid w:val="007164BA"/>
    <w:rsid w:val="007164DE"/>
    <w:rsid w:val="00716671"/>
    <w:rsid w:val="007166AC"/>
    <w:rsid w:val="00716767"/>
    <w:rsid w:val="00716B24"/>
    <w:rsid w:val="00716B85"/>
    <w:rsid w:val="00716D00"/>
    <w:rsid w:val="00716D9B"/>
    <w:rsid w:val="00717144"/>
    <w:rsid w:val="00717546"/>
    <w:rsid w:val="00717643"/>
    <w:rsid w:val="00717662"/>
    <w:rsid w:val="007176BD"/>
    <w:rsid w:val="0071779C"/>
    <w:rsid w:val="007177F1"/>
    <w:rsid w:val="00717A5D"/>
    <w:rsid w:val="00717A6E"/>
    <w:rsid w:val="00717C43"/>
    <w:rsid w:val="00717D8F"/>
    <w:rsid w:val="00717E7F"/>
    <w:rsid w:val="00717ED0"/>
    <w:rsid w:val="00720143"/>
    <w:rsid w:val="00720226"/>
    <w:rsid w:val="0072022C"/>
    <w:rsid w:val="007204D0"/>
    <w:rsid w:val="007207BF"/>
    <w:rsid w:val="00720954"/>
    <w:rsid w:val="00720B6C"/>
    <w:rsid w:val="00720BB1"/>
    <w:rsid w:val="00720E38"/>
    <w:rsid w:val="00720E5D"/>
    <w:rsid w:val="0072108A"/>
    <w:rsid w:val="0072122C"/>
    <w:rsid w:val="0072131B"/>
    <w:rsid w:val="00721397"/>
    <w:rsid w:val="00721432"/>
    <w:rsid w:val="0072144E"/>
    <w:rsid w:val="00721454"/>
    <w:rsid w:val="007216C5"/>
    <w:rsid w:val="00721713"/>
    <w:rsid w:val="0072199F"/>
    <w:rsid w:val="007219BF"/>
    <w:rsid w:val="00721B22"/>
    <w:rsid w:val="00721C0A"/>
    <w:rsid w:val="00721C59"/>
    <w:rsid w:val="00721DA7"/>
    <w:rsid w:val="00721ED6"/>
    <w:rsid w:val="00721F68"/>
    <w:rsid w:val="00722686"/>
    <w:rsid w:val="00722707"/>
    <w:rsid w:val="0072278F"/>
    <w:rsid w:val="0072282A"/>
    <w:rsid w:val="00722A7E"/>
    <w:rsid w:val="00722F4A"/>
    <w:rsid w:val="00722FB7"/>
    <w:rsid w:val="0072302F"/>
    <w:rsid w:val="00723166"/>
    <w:rsid w:val="007231FF"/>
    <w:rsid w:val="00723443"/>
    <w:rsid w:val="0072372C"/>
    <w:rsid w:val="00723A4C"/>
    <w:rsid w:val="00723A6B"/>
    <w:rsid w:val="00723C2D"/>
    <w:rsid w:val="00723DFF"/>
    <w:rsid w:val="00723E9D"/>
    <w:rsid w:val="00723ED6"/>
    <w:rsid w:val="00723F79"/>
    <w:rsid w:val="0072419C"/>
    <w:rsid w:val="00724630"/>
    <w:rsid w:val="00724703"/>
    <w:rsid w:val="0072477D"/>
    <w:rsid w:val="00724ADF"/>
    <w:rsid w:val="00724B5F"/>
    <w:rsid w:val="00724C19"/>
    <w:rsid w:val="00724CFA"/>
    <w:rsid w:val="00724DCE"/>
    <w:rsid w:val="00724FD7"/>
    <w:rsid w:val="007250E2"/>
    <w:rsid w:val="007251BD"/>
    <w:rsid w:val="0072533A"/>
    <w:rsid w:val="00725439"/>
    <w:rsid w:val="007254E8"/>
    <w:rsid w:val="007255CB"/>
    <w:rsid w:val="00725BDF"/>
    <w:rsid w:val="00725C23"/>
    <w:rsid w:val="00725C29"/>
    <w:rsid w:val="00726073"/>
    <w:rsid w:val="0072611D"/>
    <w:rsid w:val="00726193"/>
    <w:rsid w:val="0072619B"/>
    <w:rsid w:val="00726405"/>
    <w:rsid w:val="00726428"/>
    <w:rsid w:val="00726438"/>
    <w:rsid w:val="00726523"/>
    <w:rsid w:val="0072659F"/>
    <w:rsid w:val="0072673F"/>
    <w:rsid w:val="007268B7"/>
    <w:rsid w:val="0072697D"/>
    <w:rsid w:val="00726BBD"/>
    <w:rsid w:val="00726C7B"/>
    <w:rsid w:val="00726C98"/>
    <w:rsid w:val="00726CDA"/>
    <w:rsid w:val="00726D4F"/>
    <w:rsid w:val="00726DE4"/>
    <w:rsid w:val="00726F26"/>
    <w:rsid w:val="00726F61"/>
    <w:rsid w:val="00726FB4"/>
    <w:rsid w:val="00726FBF"/>
    <w:rsid w:val="00726FD1"/>
    <w:rsid w:val="0072700D"/>
    <w:rsid w:val="00727266"/>
    <w:rsid w:val="0072739D"/>
    <w:rsid w:val="007277B7"/>
    <w:rsid w:val="00727AB0"/>
    <w:rsid w:val="00727D5D"/>
    <w:rsid w:val="00727DCF"/>
    <w:rsid w:val="00727EF1"/>
    <w:rsid w:val="00727F01"/>
    <w:rsid w:val="00727FCE"/>
    <w:rsid w:val="007301E4"/>
    <w:rsid w:val="00730374"/>
    <w:rsid w:val="00730424"/>
    <w:rsid w:val="00730493"/>
    <w:rsid w:val="007305B5"/>
    <w:rsid w:val="00730608"/>
    <w:rsid w:val="00730644"/>
    <w:rsid w:val="00730724"/>
    <w:rsid w:val="0073088D"/>
    <w:rsid w:val="00730998"/>
    <w:rsid w:val="00730A92"/>
    <w:rsid w:val="00730E6F"/>
    <w:rsid w:val="00730F59"/>
    <w:rsid w:val="00730FE5"/>
    <w:rsid w:val="0073103D"/>
    <w:rsid w:val="007315A0"/>
    <w:rsid w:val="00731630"/>
    <w:rsid w:val="00731791"/>
    <w:rsid w:val="007317B3"/>
    <w:rsid w:val="00731966"/>
    <w:rsid w:val="007319A4"/>
    <w:rsid w:val="00731C9E"/>
    <w:rsid w:val="00731D37"/>
    <w:rsid w:val="00731EB4"/>
    <w:rsid w:val="007322A7"/>
    <w:rsid w:val="007322BA"/>
    <w:rsid w:val="007322C5"/>
    <w:rsid w:val="00732359"/>
    <w:rsid w:val="007323DA"/>
    <w:rsid w:val="00732831"/>
    <w:rsid w:val="0073294C"/>
    <w:rsid w:val="00732C37"/>
    <w:rsid w:val="00732D00"/>
    <w:rsid w:val="00732EFC"/>
    <w:rsid w:val="00732FCB"/>
    <w:rsid w:val="0073303E"/>
    <w:rsid w:val="0073313E"/>
    <w:rsid w:val="00733266"/>
    <w:rsid w:val="00733315"/>
    <w:rsid w:val="00733389"/>
    <w:rsid w:val="007333F9"/>
    <w:rsid w:val="00733774"/>
    <w:rsid w:val="007337BB"/>
    <w:rsid w:val="00733921"/>
    <w:rsid w:val="00733C5D"/>
    <w:rsid w:val="00733FC9"/>
    <w:rsid w:val="0073414A"/>
    <w:rsid w:val="00734207"/>
    <w:rsid w:val="007343AD"/>
    <w:rsid w:val="00734435"/>
    <w:rsid w:val="00734680"/>
    <w:rsid w:val="007346F4"/>
    <w:rsid w:val="00734700"/>
    <w:rsid w:val="00734A50"/>
    <w:rsid w:val="00734B5A"/>
    <w:rsid w:val="00734C0C"/>
    <w:rsid w:val="00734C9E"/>
    <w:rsid w:val="00734F7A"/>
    <w:rsid w:val="00734F8B"/>
    <w:rsid w:val="00734FEB"/>
    <w:rsid w:val="007352BC"/>
    <w:rsid w:val="007352D6"/>
    <w:rsid w:val="007353EA"/>
    <w:rsid w:val="0073542A"/>
    <w:rsid w:val="007354E1"/>
    <w:rsid w:val="00735584"/>
    <w:rsid w:val="00735928"/>
    <w:rsid w:val="00735BAA"/>
    <w:rsid w:val="00735EFA"/>
    <w:rsid w:val="0073607D"/>
    <w:rsid w:val="00736251"/>
    <w:rsid w:val="00736310"/>
    <w:rsid w:val="0073650B"/>
    <w:rsid w:val="007366F4"/>
    <w:rsid w:val="0073673A"/>
    <w:rsid w:val="007367FC"/>
    <w:rsid w:val="00736A03"/>
    <w:rsid w:val="00736AD4"/>
    <w:rsid w:val="00736B63"/>
    <w:rsid w:val="00736CF6"/>
    <w:rsid w:val="00736D5F"/>
    <w:rsid w:val="00736F3E"/>
    <w:rsid w:val="0073764A"/>
    <w:rsid w:val="00737AB9"/>
    <w:rsid w:val="00737B6F"/>
    <w:rsid w:val="00737DCE"/>
    <w:rsid w:val="00737DEE"/>
    <w:rsid w:val="00740068"/>
    <w:rsid w:val="0074041F"/>
    <w:rsid w:val="00740793"/>
    <w:rsid w:val="00740865"/>
    <w:rsid w:val="0074092E"/>
    <w:rsid w:val="00740B95"/>
    <w:rsid w:val="00740BC5"/>
    <w:rsid w:val="00740CC6"/>
    <w:rsid w:val="00740EB1"/>
    <w:rsid w:val="00740F1D"/>
    <w:rsid w:val="00740FBF"/>
    <w:rsid w:val="0074159D"/>
    <w:rsid w:val="007415EF"/>
    <w:rsid w:val="0074176B"/>
    <w:rsid w:val="00741796"/>
    <w:rsid w:val="007418C4"/>
    <w:rsid w:val="00741F13"/>
    <w:rsid w:val="007420BE"/>
    <w:rsid w:val="00742149"/>
    <w:rsid w:val="007423E4"/>
    <w:rsid w:val="00742567"/>
    <w:rsid w:val="00742591"/>
    <w:rsid w:val="00742677"/>
    <w:rsid w:val="007426AE"/>
    <w:rsid w:val="007427DE"/>
    <w:rsid w:val="00742824"/>
    <w:rsid w:val="0074299E"/>
    <w:rsid w:val="00742AB2"/>
    <w:rsid w:val="00742BFF"/>
    <w:rsid w:val="00742C99"/>
    <w:rsid w:val="00742DA4"/>
    <w:rsid w:val="00742E42"/>
    <w:rsid w:val="00742E51"/>
    <w:rsid w:val="00742EC0"/>
    <w:rsid w:val="00742FCB"/>
    <w:rsid w:val="00743134"/>
    <w:rsid w:val="0074319B"/>
    <w:rsid w:val="0074346A"/>
    <w:rsid w:val="007434B8"/>
    <w:rsid w:val="0074363F"/>
    <w:rsid w:val="007437D7"/>
    <w:rsid w:val="007438B1"/>
    <w:rsid w:val="00743A58"/>
    <w:rsid w:val="00743A8E"/>
    <w:rsid w:val="00743C4D"/>
    <w:rsid w:val="00743DB4"/>
    <w:rsid w:val="00743E9E"/>
    <w:rsid w:val="00743ECB"/>
    <w:rsid w:val="00744098"/>
    <w:rsid w:val="007440E0"/>
    <w:rsid w:val="00744172"/>
    <w:rsid w:val="00744198"/>
    <w:rsid w:val="007441AF"/>
    <w:rsid w:val="007443C8"/>
    <w:rsid w:val="00744A5B"/>
    <w:rsid w:val="00744FBA"/>
    <w:rsid w:val="00745160"/>
    <w:rsid w:val="00745531"/>
    <w:rsid w:val="00745593"/>
    <w:rsid w:val="007455D1"/>
    <w:rsid w:val="007456C0"/>
    <w:rsid w:val="00745715"/>
    <w:rsid w:val="0074584B"/>
    <w:rsid w:val="00745A4E"/>
    <w:rsid w:val="00745A6C"/>
    <w:rsid w:val="00745AB1"/>
    <w:rsid w:val="00745B8E"/>
    <w:rsid w:val="00745F48"/>
    <w:rsid w:val="00746057"/>
    <w:rsid w:val="007461BA"/>
    <w:rsid w:val="007461D5"/>
    <w:rsid w:val="0074625C"/>
    <w:rsid w:val="007463D3"/>
    <w:rsid w:val="00746A52"/>
    <w:rsid w:val="00746B8D"/>
    <w:rsid w:val="00746D6B"/>
    <w:rsid w:val="007471E0"/>
    <w:rsid w:val="007474F1"/>
    <w:rsid w:val="0074758D"/>
    <w:rsid w:val="007478FB"/>
    <w:rsid w:val="00747A07"/>
    <w:rsid w:val="00747D34"/>
    <w:rsid w:val="00747E95"/>
    <w:rsid w:val="00747EEE"/>
    <w:rsid w:val="00747FAC"/>
    <w:rsid w:val="007501CF"/>
    <w:rsid w:val="007501EE"/>
    <w:rsid w:val="007501FD"/>
    <w:rsid w:val="0075059B"/>
    <w:rsid w:val="007506CF"/>
    <w:rsid w:val="00750747"/>
    <w:rsid w:val="00750829"/>
    <w:rsid w:val="007508CA"/>
    <w:rsid w:val="00750A6B"/>
    <w:rsid w:val="00750A72"/>
    <w:rsid w:val="00750C9B"/>
    <w:rsid w:val="00750CC2"/>
    <w:rsid w:val="00750CDA"/>
    <w:rsid w:val="00750D4B"/>
    <w:rsid w:val="00750EF8"/>
    <w:rsid w:val="00750F01"/>
    <w:rsid w:val="00751197"/>
    <w:rsid w:val="0075119B"/>
    <w:rsid w:val="00751345"/>
    <w:rsid w:val="00751454"/>
    <w:rsid w:val="00751527"/>
    <w:rsid w:val="007516AB"/>
    <w:rsid w:val="007517EF"/>
    <w:rsid w:val="00751BD6"/>
    <w:rsid w:val="00751C6C"/>
    <w:rsid w:val="00751CC1"/>
    <w:rsid w:val="00751EE5"/>
    <w:rsid w:val="00752063"/>
    <w:rsid w:val="00752064"/>
    <w:rsid w:val="0075207B"/>
    <w:rsid w:val="007520CD"/>
    <w:rsid w:val="0075233E"/>
    <w:rsid w:val="00752367"/>
    <w:rsid w:val="007523F4"/>
    <w:rsid w:val="00752471"/>
    <w:rsid w:val="00752523"/>
    <w:rsid w:val="00752716"/>
    <w:rsid w:val="00752759"/>
    <w:rsid w:val="007527ED"/>
    <w:rsid w:val="00752B49"/>
    <w:rsid w:val="00752CCE"/>
    <w:rsid w:val="00752DEF"/>
    <w:rsid w:val="00752ED7"/>
    <w:rsid w:val="0075314C"/>
    <w:rsid w:val="007536B3"/>
    <w:rsid w:val="0075376F"/>
    <w:rsid w:val="00753875"/>
    <w:rsid w:val="00753911"/>
    <w:rsid w:val="00753B0A"/>
    <w:rsid w:val="00753CF9"/>
    <w:rsid w:val="00753E36"/>
    <w:rsid w:val="00753E81"/>
    <w:rsid w:val="00753EB2"/>
    <w:rsid w:val="0075415F"/>
    <w:rsid w:val="0075423D"/>
    <w:rsid w:val="007542A4"/>
    <w:rsid w:val="007542CD"/>
    <w:rsid w:val="00754304"/>
    <w:rsid w:val="007543B0"/>
    <w:rsid w:val="0075485D"/>
    <w:rsid w:val="00754C0E"/>
    <w:rsid w:val="00754EC6"/>
    <w:rsid w:val="00754F72"/>
    <w:rsid w:val="00754FEE"/>
    <w:rsid w:val="0075506E"/>
    <w:rsid w:val="00755078"/>
    <w:rsid w:val="007550BA"/>
    <w:rsid w:val="00755104"/>
    <w:rsid w:val="0075520C"/>
    <w:rsid w:val="00755328"/>
    <w:rsid w:val="0075545D"/>
    <w:rsid w:val="0075557C"/>
    <w:rsid w:val="00755753"/>
    <w:rsid w:val="00755887"/>
    <w:rsid w:val="007559EF"/>
    <w:rsid w:val="00755A3E"/>
    <w:rsid w:val="00755F03"/>
    <w:rsid w:val="00755FC6"/>
    <w:rsid w:val="00756091"/>
    <w:rsid w:val="00756095"/>
    <w:rsid w:val="007561BA"/>
    <w:rsid w:val="0075637C"/>
    <w:rsid w:val="00756381"/>
    <w:rsid w:val="007563C3"/>
    <w:rsid w:val="007563FC"/>
    <w:rsid w:val="00756417"/>
    <w:rsid w:val="0075657D"/>
    <w:rsid w:val="007565D2"/>
    <w:rsid w:val="007566E6"/>
    <w:rsid w:val="007567ED"/>
    <w:rsid w:val="00756801"/>
    <w:rsid w:val="00756B94"/>
    <w:rsid w:val="00756C0F"/>
    <w:rsid w:val="00756C3D"/>
    <w:rsid w:val="00756D20"/>
    <w:rsid w:val="00756DAF"/>
    <w:rsid w:val="00756E12"/>
    <w:rsid w:val="00756ED8"/>
    <w:rsid w:val="00756F26"/>
    <w:rsid w:val="00757008"/>
    <w:rsid w:val="007570E2"/>
    <w:rsid w:val="00757178"/>
    <w:rsid w:val="00757272"/>
    <w:rsid w:val="0075735B"/>
    <w:rsid w:val="00757555"/>
    <w:rsid w:val="007576C4"/>
    <w:rsid w:val="007577A5"/>
    <w:rsid w:val="007579AE"/>
    <w:rsid w:val="00757A75"/>
    <w:rsid w:val="00757A87"/>
    <w:rsid w:val="00757CA0"/>
    <w:rsid w:val="00757D16"/>
    <w:rsid w:val="00757D1D"/>
    <w:rsid w:val="00757DF0"/>
    <w:rsid w:val="00757E39"/>
    <w:rsid w:val="007600AF"/>
    <w:rsid w:val="00760175"/>
    <w:rsid w:val="00760189"/>
    <w:rsid w:val="007606BA"/>
    <w:rsid w:val="00760704"/>
    <w:rsid w:val="00760734"/>
    <w:rsid w:val="007608D1"/>
    <w:rsid w:val="00760973"/>
    <w:rsid w:val="00760D00"/>
    <w:rsid w:val="00760EA3"/>
    <w:rsid w:val="00760FA4"/>
    <w:rsid w:val="00760FBA"/>
    <w:rsid w:val="00761041"/>
    <w:rsid w:val="00761062"/>
    <w:rsid w:val="007615F8"/>
    <w:rsid w:val="00761818"/>
    <w:rsid w:val="00761A91"/>
    <w:rsid w:val="00761B03"/>
    <w:rsid w:val="00761DE1"/>
    <w:rsid w:val="00761E00"/>
    <w:rsid w:val="00761E4C"/>
    <w:rsid w:val="00761E85"/>
    <w:rsid w:val="00761F8A"/>
    <w:rsid w:val="00761FC3"/>
    <w:rsid w:val="007620E1"/>
    <w:rsid w:val="007622CC"/>
    <w:rsid w:val="007627C3"/>
    <w:rsid w:val="00762842"/>
    <w:rsid w:val="0076290B"/>
    <w:rsid w:val="00762A7F"/>
    <w:rsid w:val="00762AF2"/>
    <w:rsid w:val="00762C1E"/>
    <w:rsid w:val="00762D10"/>
    <w:rsid w:val="00762FB6"/>
    <w:rsid w:val="007630E1"/>
    <w:rsid w:val="007630FA"/>
    <w:rsid w:val="007631C1"/>
    <w:rsid w:val="00763208"/>
    <w:rsid w:val="007632E2"/>
    <w:rsid w:val="007632E9"/>
    <w:rsid w:val="007633CB"/>
    <w:rsid w:val="00763660"/>
    <w:rsid w:val="0076387F"/>
    <w:rsid w:val="00763DB7"/>
    <w:rsid w:val="00763DF7"/>
    <w:rsid w:val="00763E07"/>
    <w:rsid w:val="00763ED6"/>
    <w:rsid w:val="0076428C"/>
    <w:rsid w:val="0076430C"/>
    <w:rsid w:val="00764757"/>
    <w:rsid w:val="00764903"/>
    <w:rsid w:val="007649E1"/>
    <w:rsid w:val="00764AF4"/>
    <w:rsid w:val="00764B5D"/>
    <w:rsid w:val="00764CDC"/>
    <w:rsid w:val="00764DFC"/>
    <w:rsid w:val="00764F49"/>
    <w:rsid w:val="0076525D"/>
    <w:rsid w:val="0076535A"/>
    <w:rsid w:val="0076546D"/>
    <w:rsid w:val="007654D4"/>
    <w:rsid w:val="00765528"/>
    <w:rsid w:val="0076573F"/>
    <w:rsid w:val="00765893"/>
    <w:rsid w:val="007658F0"/>
    <w:rsid w:val="00765A91"/>
    <w:rsid w:val="00765BDC"/>
    <w:rsid w:val="00765C42"/>
    <w:rsid w:val="00765D5E"/>
    <w:rsid w:val="00765D85"/>
    <w:rsid w:val="00765E5B"/>
    <w:rsid w:val="00765FA2"/>
    <w:rsid w:val="00766033"/>
    <w:rsid w:val="007661C9"/>
    <w:rsid w:val="0076655B"/>
    <w:rsid w:val="0076679D"/>
    <w:rsid w:val="00766878"/>
    <w:rsid w:val="00766A87"/>
    <w:rsid w:val="00766ADC"/>
    <w:rsid w:val="00766CC0"/>
    <w:rsid w:val="00766D66"/>
    <w:rsid w:val="00766E77"/>
    <w:rsid w:val="00766FAB"/>
    <w:rsid w:val="00767259"/>
    <w:rsid w:val="007672FF"/>
    <w:rsid w:val="00767542"/>
    <w:rsid w:val="00767AC8"/>
    <w:rsid w:val="00767AD5"/>
    <w:rsid w:val="00767DBC"/>
    <w:rsid w:val="007700EA"/>
    <w:rsid w:val="0077022F"/>
    <w:rsid w:val="00770401"/>
    <w:rsid w:val="0077064D"/>
    <w:rsid w:val="007706DD"/>
    <w:rsid w:val="00770984"/>
    <w:rsid w:val="00770BAC"/>
    <w:rsid w:val="00770E29"/>
    <w:rsid w:val="00770E33"/>
    <w:rsid w:val="00770F7D"/>
    <w:rsid w:val="00771085"/>
    <w:rsid w:val="0077142A"/>
    <w:rsid w:val="007714FC"/>
    <w:rsid w:val="00771633"/>
    <w:rsid w:val="00771ADB"/>
    <w:rsid w:val="00771E02"/>
    <w:rsid w:val="007722B6"/>
    <w:rsid w:val="007723FD"/>
    <w:rsid w:val="007724C8"/>
    <w:rsid w:val="0077262F"/>
    <w:rsid w:val="007727E8"/>
    <w:rsid w:val="00772967"/>
    <w:rsid w:val="00772984"/>
    <w:rsid w:val="00772AD4"/>
    <w:rsid w:val="00772B7B"/>
    <w:rsid w:val="00772BCA"/>
    <w:rsid w:val="007737C9"/>
    <w:rsid w:val="007738DC"/>
    <w:rsid w:val="007739D8"/>
    <w:rsid w:val="00773A89"/>
    <w:rsid w:val="00773B60"/>
    <w:rsid w:val="00773BDD"/>
    <w:rsid w:val="00773BEA"/>
    <w:rsid w:val="00773FC5"/>
    <w:rsid w:val="007740E4"/>
    <w:rsid w:val="0077413A"/>
    <w:rsid w:val="007741C5"/>
    <w:rsid w:val="007741DD"/>
    <w:rsid w:val="00774294"/>
    <w:rsid w:val="00774542"/>
    <w:rsid w:val="00774B93"/>
    <w:rsid w:val="00774E61"/>
    <w:rsid w:val="00774E78"/>
    <w:rsid w:val="00774F58"/>
    <w:rsid w:val="00774F97"/>
    <w:rsid w:val="0077500D"/>
    <w:rsid w:val="007750ED"/>
    <w:rsid w:val="00775482"/>
    <w:rsid w:val="0077555B"/>
    <w:rsid w:val="007757C2"/>
    <w:rsid w:val="00775810"/>
    <w:rsid w:val="007759DD"/>
    <w:rsid w:val="007759DE"/>
    <w:rsid w:val="00775C11"/>
    <w:rsid w:val="00775CCB"/>
    <w:rsid w:val="007760CE"/>
    <w:rsid w:val="00776302"/>
    <w:rsid w:val="0077651A"/>
    <w:rsid w:val="007767FD"/>
    <w:rsid w:val="00776A6D"/>
    <w:rsid w:val="00776AEA"/>
    <w:rsid w:val="00776BD1"/>
    <w:rsid w:val="00776C50"/>
    <w:rsid w:val="00776FDF"/>
    <w:rsid w:val="0077710E"/>
    <w:rsid w:val="007772BF"/>
    <w:rsid w:val="007775D5"/>
    <w:rsid w:val="007779CE"/>
    <w:rsid w:val="007779E6"/>
    <w:rsid w:val="00777D3C"/>
    <w:rsid w:val="00777DF1"/>
    <w:rsid w:val="00777E65"/>
    <w:rsid w:val="00777E74"/>
    <w:rsid w:val="00777E81"/>
    <w:rsid w:val="00777FF5"/>
    <w:rsid w:val="00780088"/>
    <w:rsid w:val="00780182"/>
    <w:rsid w:val="00780189"/>
    <w:rsid w:val="00780219"/>
    <w:rsid w:val="00780321"/>
    <w:rsid w:val="007803B4"/>
    <w:rsid w:val="00780554"/>
    <w:rsid w:val="007806CE"/>
    <w:rsid w:val="00780B7D"/>
    <w:rsid w:val="00780BC1"/>
    <w:rsid w:val="00780C63"/>
    <w:rsid w:val="00780C7D"/>
    <w:rsid w:val="00780CC8"/>
    <w:rsid w:val="00780D36"/>
    <w:rsid w:val="007810B8"/>
    <w:rsid w:val="0078125F"/>
    <w:rsid w:val="00781317"/>
    <w:rsid w:val="0078135B"/>
    <w:rsid w:val="00781365"/>
    <w:rsid w:val="00781373"/>
    <w:rsid w:val="007814A1"/>
    <w:rsid w:val="007815FA"/>
    <w:rsid w:val="00781A92"/>
    <w:rsid w:val="00781C26"/>
    <w:rsid w:val="00781E65"/>
    <w:rsid w:val="00781F9E"/>
    <w:rsid w:val="00781FC3"/>
    <w:rsid w:val="007820C4"/>
    <w:rsid w:val="0078248D"/>
    <w:rsid w:val="0078250F"/>
    <w:rsid w:val="007825CD"/>
    <w:rsid w:val="0078265F"/>
    <w:rsid w:val="007826ED"/>
    <w:rsid w:val="00782BA7"/>
    <w:rsid w:val="00782BD0"/>
    <w:rsid w:val="00782D95"/>
    <w:rsid w:val="00782E17"/>
    <w:rsid w:val="00782EA6"/>
    <w:rsid w:val="0078317D"/>
    <w:rsid w:val="0078326E"/>
    <w:rsid w:val="007835D3"/>
    <w:rsid w:val="00783662"/>
    <w:rsid w:val="00783745"/>
    <w:rsid w:val="0078381A"/>
    <w:rsid w:val="00783C6E"/>
    <w:rsid w:val="00783CB2"/>
    <w:rsid w:val="00783D40"/>
    <w:rsid w:val="00783DC2"/>
    <w:rsid w:val="00783F93"/>
    <w:rsid w:val="00783FB3"/>
    <w:rsid w:val="0078406A"/>
    <w:rsid w:val="00784215"/>
    <w:rsid w:val="007842AF"/>
    <w:rsid w:val="007843E2"/>
    <w:rsid w:val="007844FB"/>
    <w:rsid w:val="007845E6"/>
    <w:rsid w:val="007846CB"/>
    <w:rsid w:val="00784785"/>
    <w:rsid w:val="0078480A"/>
    <w:rsid w:val="0078480D"/>
    <w:rsid w:val="0078481B"/>
    <w:rsid w:val="00784A1D"/>
    <w:rsid w:val="00784C32"/>
    <w:rsid w:val="00784D9C"/>
    <w:rsid w:val="00785306"/>
    <w:rsid w:val="007854C3"/>
    <w:rsid w:val="007854D3"/>
    <w:rsid w:val="0078552A"/>
    <w:rsid w:val="00785663"/>
    <w:rsid w:val="0078572B"/>
    <w:rsid w:val="0078583D"/>
    <w:rsid w:val="00785920"/>
    <w:rsid w:val="007859D1"/>
    <w:rsid w:val="00785AB7"/>
    <w:rsid w:val="00785DFD"/>
    <w:rsid w:val="00785FEC"/>
    <w:rsid w:val="00785FFF"/>
    <w:rsid w:val="0078615A"/>
    <w:rsid w:val="007861BD"/>
    <w:rsid w:val="007862AA"/>
    <w:rsid w:val="0078636A"/>
    <w:rsid w:val="00786519"/>
    <w:rsid w:val="00786534"/>
    <w:rsid w:val="007866DA"/>
    <w:rsid w:val="00786859"/>
    <w:rsid w:val="00786D69"/>
    <w:rsid w:val="00787047"/>
    <w:rsid w:val="007870AA"/>
    <w:rsid w:val="007870D7"/>
    <w:rsid w:val="00787488"/>
    <w:rsid w:val="0078765B"/>
    <w:rsid w:val="0078767F"/>
    <w:rsid w:val="0078772A"/>
    <w:rsid w:val="0078778C"/>
    <w:rsid w:val="007878F1"/>
    <w:rsid w:val="00787B51"/>
    <w:rsid w:val="00787BA7"/>
    <w:rsid w:val="00787C21"/>
    <w:rsid w:val="00787DF3"/>
    <w:rsid w:val="00787FE0"/>
    <w:rsid w:val="00790261"/>
    <w:rsid w:val="00790334"/>
    <w:rsid w:val="007904CE"/>
    <w:rsid w:val="007904D5"/>
    <w:rsid w:val="0079059B"/>
    <w:rsid w:val="007905D9"/>
    <w:rsid w:val="0079080D"/>
    <w:rsid w:val="0079085D"/>
    <w:rsid w:val="00790866"/>
    <w:rsid w:val="0079093E"/>
    <w:rsid w:val="00790B1A"/>
    <w:rsid w:val="00790BD3"/>
    <w:rsid w:val="00790C61"/>
    <w:rsid w:val="00790C65"/>
    <w:rsid w:val="00790C7D"/>
    <w:rsid w:val="00790CDD"/>
    <w:rsid w:val="00790E2B"/>
    <w:rsid w:val="00790E3B"/>
    <w:rsid w:val="00790E4C"/>
    <w:rsid w:val="00790F98"/>
    <w:rsid w:val="0079105F"/>
    <w:rsid w:val="007910A0"/>
    <w:rsid w:val="00791198"/>
    <w:rsid w:val="007911EA"/>
    <w:rsid w:val="007917D9"/>
    <w:rsid w:val="00791953"/>
    <w:rsid w:val="00791A10"/>
    <w:rsid w:val="00791A83"/>
    <w:rsid w:val="00791EFB"/>
    <w:rsid w:val="0079237E"/>
    <w:rsid w:val="00792502"/>
    <w:rsid w:val="007925E8"/>
    <w:rsid w:val="00792671"/>
    <w:rsid w:val="007927E2"/>
    <w:rsid w:val="00792D0C"/>
    <w:rsid w:val="00792EE1"/>
    <w:rsid w:val="00792FCD"/>
    <w:rsid w:val="00792FDB"/>
    <w:rsid w:val="00793115"/>
    <w:rsid w:val="0079317C"/>
    <w:rsid w:val="007932D8"/>
    <w:rsid w:val="00793355"/>
    <w:rsid w:val="007933A5"/>
    <w:rsid w:val="007933E5"/>
    <w:rsid w:val="007935C0"/>
    <w:rsid w:val="00793841"/>
    <w:rsid w:val="00793999"/>
    <w:rsid w:val="00793CD2"/>
    <w:rsid w:val="00793E88"/>
    <w:rsid w:val="00793EEE"/>
    <w:rsid w:val="00793F18"/>
    <w:rsid w:val="00793F42"/>
    <w:rsid w:val="00793FB7"/>
    <w:rsid w:val="0079414F"/>
    <w:rsid w:val="007942C1"/>
    <w:rsid w:val="0079475F"/>
    <w:rsid w:val="007947C8"/>
    <w:rsid w:val="00794A5D"/>
    <w:rsid w:val="00794BD8"/>
    <w:rsid w:val="00794E45"/>
    <w:rsid w:val="00794EA2"/>
    <w:rsid w:val="00794EB8"/>
    <w:rsid w:val="00794EFB"/>
    <w:rsid w:val="00795116"/>
    <w:rsid w:val="00795317"/>
    <w:rsid w:val="007954AE"/>
    <w:rsid w:val="0079559F"/>
    <w:rsid w:val="007957E9"/>
    <w:rsid w:val="00795856"/>
    <w:rsid w:val="0079587E"/>
    <w:rsid w:val="007958C3"/>
    <w:rsid w:val="00795AFA"/>
    <w:rsid w:val="00795B50"/>
    <w:rsid w:val="00795BA9"/>
    <w:rsid w:val="00795C14"/>
    <w:rsid w:val="00795C24"/>
    <w:rsid w:val="00795E51"/>
    <w:rsid w:val="00795FB2"/>
    <w:rsid w:val="0079603D"/>
    <w:rsid w:val="00796087"/>
    <w:rsid w:val="00796117"/>
    <w:rsid w:val="007963D9"/>
    <w:rsid w:val="007964A0"/>
    <w:rsid w:val="00796583"/>
    <w:rsid w:val="007967E2"/>
    <w:rsid w:val="00796850"/>
    <w:rsid w:val="0079696B"/>
    <w:rsid w:val="00796AA2"/>
    <w:rsid w:val="00796B27"/>
    <w:rsid w:val="00796CFA"/>
    <w:rsid w:val="007971C1"/>
    <w:rsid w:val="007971CB"/>
    <w:rsid w:val="0079734E"/>
    <w:rsid w:val="007974E8"/>
    <w:rsid w:val="0079770D"/>
    <w:rsid w:val="00797BD0"/>
    <w:rsid w:val="00797F9D"/>
    <w:rsid w:val="007A010E"/>
    <w:rsid w:val="007A054D"/>
    <w:rsid w:val="007A055A"/>
    <w:rsid w:val="007A07AA"/>
    <w:rsid w:val="007A08BC"/>
    <w:rsid w:val="007A09E5"/>
    <w:rsid w:val="007A0B7C"/>
    <w:rsid w:val="007A0C5A"/>
    <w:rsid w:val="007A0E94"/>
    <w:rsid w:val="007A0F4E"/>
    <w:rsid w:val="007A112B"/>
    <w:rsid w:val="007A134A"/>
    <w:rsid w:val="007A143D"/>
    <w:rsid w:val="007A1655"/>
    <w:rsid w:val="007A1754"/>
    <w:rsid w:val="007A1A0A"/>
    <w:rsid w:val="007A1A12"/>
    <w:rsid w:val="007A1AF0"/>
    <w:rsid w:val="007A1CE9"/>
    <w:rsid w:val="007A1DC2"/>
    <w:rsid w:val="007A1EB9"/>
    <w:rsid w:val="007A1ECC"/>
    <w:rsid w:val="007A2205"/>
    <w:rsid w:val="007A2216"/>
    <w:rsid w:val="007A225D"/>
    <w:rsid w:val="007A22D6"/>
    <w:rsid w:val="007A23B9"/>
    <w:rsid w:val="007A243A"/>
    <w:rsid w:val="007A24B3"/>
    <w:rsid w:val="007A25D1"/>
    <w:rsid w:val="007A2625"/>
    <w:rsid w:val="007A268C"/>
    <w:rsid w:val="007A273B"/>
    <w:rsid w:val="007A289C"/>
    <w:rsid w:val="007A2993"/>
    <w:rsid w:val="007A29C9"/>
    <w:rsid w:val="007A2A41"/>
    <w:rsid w:val="007A2CD3"/>
    <w:rsid w:val="007A2D68"/>
    <w:rsid w:val="007A2E57"/>
    <w:rsid w:val="007A2E71"/>
    <w:rsid w:val="007A3030"/>
    <w:rsid w:val="007A3400"/>
    <w:rsid w:val="007A34A7"/>
    <w:rsid w:val="007A35B0"/>
    <w:rsid w:val="007A387D"/>
    <w:rsid w:val="007A3A5A"/>
    <w:rsid w:val="007A3C32"/>
    <w:rsid w:val="007A3D48"/>
    <w:rsid w:val="007A4114"/>
    <w:rsid w:val="007A4567"/>
    <w:rsid w:val="007A466E"/>
    <w:rsid w:val="007A46C2"/>
    <w:rsid w:val="007A46DA"/>
    <w:rsid w:val="007A470A"/>
    <w:rsid w:val="007A4A15"/>
    <w:rsid w:val="007A4C03"/>
    <w:rsid w:val="007A4C1D"/>
    <w:rsid w:val="007A4CB3"/>
    <w:rsid w:val="007A4D81"/>
    <w:rsid w:val="007A4F20"/>
    <w:rsid w:val="007A512B"/>
    <w:rsid w:val="007A52B8"/>
    <w:rsid w:val="007A5311"/>
    <w:rsid w:val="007A5376"/>
    <w:rsid w:val="007A5428"/>
    <w:rsid w:val="007A555E"/>
    <w:rsid w:val="007A572B"/>
    <w:rsid w:val="007A572F"/>
    <w:rsid w:val="007A57AB"/>
    <w:rsid w:val="007A57E2"/>
    <w:rsid w:val="007A5A8E"/>
    <w:rsid w:val="007A5B6A"/>
    <w:rsid w:val="007A5C49"/>
    <w:rsid w:val="007A5D3A"/>
    <w:rsid w:val="007A5FD1"/>
    <w:rsid w:val="007A6088"/>
    <w:rsid w:val="007A6175"/>
    <w:rsid w:val="007A61B2"/>
    <w:rsid w:val="007A61E2"/>
    <w:rsid w:val="007A622C"/>
    <w:rsid w:val="007A6756"/>
    <w:rsid w:val="007A67BE"/>
    <w:rsid w:val="007A6818"/>
    <w:rsid w:val="007A68BE"/>
    <w:rsid w:val="007A69DC"/>
    <w:rsid w:val="007A6B4E"/>
    <w:rsid w:val="007A6C05"/>
    <w:rsid w:val="007A6C19"/>
    <w:rsid w:val="007A6DAA"/>
    <w:rsid w:val="007A6EEE"/>
    <w:rsid w:val="007A6FB1"/>
    <w:rsid w:val="007A71CF"/>
    <w:rsid w:val="007A7492"/>
    <w:rsid w:val="007A7520"/>
    <w:rsid w:val="007A7592"/>
    <w:rsid w:val="007A793C"/>
    <w:rsid w:val="007A7C2B"/>
    <w:rsid w:val="007A7C30"/>
    <w:rsid w:val="007B0169"/>
    <w:rsid w:val="007B048F"/>
    <w:rsid w:val="007B0751"/>
    <w:rsid w:val="007B0B03"/>
    <w:rsid w:val="007B0C52"/>
    <w:rsid w:val="007B0C72"/>
    <w:rsid w:val="007B0F0A"/>
    <w:rsid w:val="007B12D5"/>
    <w:rsid w:val="007B1485"/>
    <w:rsid w:val="007B14FA"/>
    <w:rsid w:val="007B15E1"/>
    <w:rsid w:val="007B16AE"/>
    <w:rsid w:val="007B175F"/>
    <w:rsid w:val="007B188A"/>
    <w:rsid w:val="007B189C"/>
    <w:rsid w:val="007B192C"/>
    <w:rsid w:val="007B1A61"/>
    <w:rsid w:val="007B1A97"/>
    <w:rsid w:val="007B1C32"/>
    <w:rsid w:val="007B1D63"/>
    <w:rsid w:val="007B1DBF"/>
    <w:rsid w:val="007B2180"/>
    <w:rsid w:val="007B23BB"/>
    <w:rsid w:val="007B24D0"/>
    <w:rsid w:val="007B24DD"/>
    <w:rsid w:val="007B2848"/>
    <w:rsid w:val="007B285D"/>
    <w:rsid w:val="007B29C2"/>
    <w:rsid w:val="007B29D0"/>
    <w:rsid w:val="007B29EB"/>
    <w:rsid w:val="007B2AD7"/>
    <w:rsid w:val="007B2E35"/>
    <w:rsid w:val="007B3007"/>
    <w:rsid w:val="007B342F"/>
    <w:rsid w:val="007B35F9"/>
    <w:rsid w:val="007B3618"/>
    <w:rsid w:val="007B36C6"/>
    <w:rsid w:val="007B36CC"/>
    <w:rsid w:val="007B36D4"/>
    <w:rsid w:val="007B3784"/>
    <w:rsid w:val="007B37C3"/>
    <w:rsid w:val="007B37CD"/>
    <w:rsid w:val="007B38BA"/>
    <w:rsid w:val="007B3A84"/>
    <w:rsid w:val="007B3AFC"/>
    <w:rsid w:val="007B3CCE"/>
    <w:rsid w:val="007B3EAA"/>
    <w:rsid w:val="007B3EBB"/>
    <w:rsid w:val="007B3FCA"/>
    <w:rsid w:val="007B3FF7"/>
    <w:rsid w:val="007B4095"/>
    <w:rsid w:val="007B40CD"/>
    <w:rsid w:val="007B432A"/>
    <w:rsid w:val="007B446C"/>
    <w:rsid w:val="007B4476"/>
    <w:rsid w:val="007B46AE"/>
    <w:rsid w:val="007B46CF"/>
    <w:rsid w:val="007B4AA0"/>
    <w:rsid w:val="007B4D56"/>
    <w:rsid w:val="007B4E44"/>
    <w:rsid w:val="007B530E"/>
    <w:rsid w:val="007B53F6"/>
    <w:rsid w:val="007B54B7"/>
    <w:rsid w:val="007B589C"/>
    <w:rsid w:val="007B5976"/>
    <w:rsid w:val="007B5BA4"/>
    <w:rsid w:val="007B5CA7"/>
    <w:rsid w:val="007B5D41"/>
    <w:rsid w:val="007B5ED5"/>
    <w:rsid w:val="007B60B9"/>
    <w:rsid w:val="007B6232"/>
    <w:rsid w:val="007B62EB"/>
    <w:rsid w:val="007B651F"/>
    <w:rsid w:val="007B6650"/>
    <w:rsid w:val="007B67DD"/>
    <w:rsid w:val="007B6883"/>
    <w:rsid w:val="007B6BB2"/>
    <w:rsid w:val="007B6E5F"/>
    <w:rsid w:val="007B6F80"/>
    <w:rsid w:val="007B6FC7"/>
    <w:rsid w:val="007B7125"/>
    <w:rsid w:val="007B731B"/>
    <w:rsid w:val="007B758C"/>
    <w:rsid w:val="007B765E"/>
    <w:rsid w:val="007B7705"/>
    <w:rsid w:val="007B770B"/>
    <w:rsid w:val="007B77D7"/>
    <w:rsid w:val="007B7A10"/>
    <w:rsid w:val="007B7BFD"/>
    <w:rsid w:val="007B7C6C"/>
    <w:rsid w:val="007B7D16"/>
    <w:rsid w:val="007B7D40"/>
    <w:rsid w:val="007B7EBD"/>
    <w:rsid w:val="007C0217"/>
    <w:rsid w:val="007C03F2"/>
    <w:rsid w:val="007C03F5"/>
    <w:rsid w:val="007C0519"/>
    <w:rsid w:val="007C0809"/>
    <w:rsid w:val="007C0E6E"/>
    <w:rsid w:val="007C0EBB"/>
    <w:rsid w:val="007C11B7"/>
    <w:rsid w:val="007C123B"/>
    <w:rsid w:val="007C12F6"/>
    <w:rsid w:val="007C13EE"/>
    <w:rsid w:val="007C1817"/>
    <w:rsid w:val="007C1839"/>
    <w:rsid w:val="007C1847"/>
    <w:rsid w:val="007C191B"/>
    <w:rsid w:val="007C1B18"/>
    <w:rsid w:val="007C2578"/>
    <w:rsid w:val="007C2589"/>
    <w:rsid w:val="007C25EF"/>
    <w:rsid w:val="007C27A5"/>
    <w:rsid w:val="007C283B"/>
    <w:rsid w:val="007C288C"/>
    <w:rsid w:val="007C28CF"/>
    <w:rsid w:val="007C2A45"/>
    <w:rsid w:val="007C2BFB"/>
    <w:rsid w:val="007C2E5D"/>
    <w:rsid w:val="007C2E8D"/>
    <w:rsid w:val="007C2EC7"/>
    <w:rsid w:val="007C2F48"/>
    <w:rsid w:val="007C309F"/>
    <w:rsid w:val="007C332F"/>
    <w:rsid w:val="007C3373"/>
    <w:rsid w:val="007C36CF"/>
    <w:rsid w:val="007C37B9"/>
    <w:rsid w:val="007C3922"/>
    <w:rsid w:val="007C3A95"/>
    <w:rsid w:val="007C3D41"/>
    <w:rsid w:val="007C3D5F"/>
    <w:rsid w:val="007C4039"/>
    <w:rsid w:val="007C4080"/>
    <w:rsid w:val="007C41EC"/>
    <w:rsid w:val="007C426D"/>
    <w:rsid w:val="007C434E"/>
    <w:rsid w:val="007C45A7"/>
    <w:rsid w:val="007C4614"/>
    <w:rsid w:val="007C46AD"/>
    <w:rsid w:val="007C4AD2"/>
    <w:rsid w:val="007C4B33"/>
    <w:rsid w:val="007C4B8D"/>
    <w:rsid w:val="007C4C04"/>
    <w:rsid w:val="007C4D6C"/>
    <w:rsid w:val="007C4EE5"/>
    <w:rsid w:val="007C4F6F"/>
    <w:rsid w:val="007C515E"/>
    <w:rsid w:val="007C525B"/>
    <w:rsid w:val="007C5296"/>
    <w:rsid w:val="007C531C"/>
    <w:rsid w:val="007C573E"/>
    <w:rsid w:val="007C57B8"/>
    <w:rsid w:val="007C57FC"/>
    <w:rsid w:val="007C5C2B"/>
    <w:rsid w:val="007C5C77"/>
    <w:rsid w:val="007C5CAE"/>
    <w:rsid w:val="007C5CB9"/>
    <w:rsid w:val="007C5CD4"/>
    <w:rsid w:val="007C5CDD"/>
    <w:rsid w:val="007C5D26"/>
    <w:rsid w:val="007C5EBA"/>
    <w:rsid w:val="007C5F7B"/>
    <w:rsid w:val="007C5FE7"/>
    <w:rsid w:val="007C60B2"/>
    <w:rsid w:val="007C60C7"/>
    <w:rsid w:val="007C612F"/>
    <w:rsid w:val="007C64F1"/>
    <w:rsid w:val="007C65C2"/>
    <w:rsid w:val="007C67EA"/>
    <w:rsid w:val="007C6A06"/>
    <w:rsid w:val="007C6A9F"/>
    <w:rsid w:val="007C702E"/>
    <w:rsid w:val="007C7068"/>
    <w:rsid w:val="007C7115"/>
    <w:rsid w:val="007C7448"/>
    <w:rsid w:val="007C79EF"/>
    <w:rsid w:val="007C7B2D"/>
    <w:rsid w:val="007C7C1F"/>
    <w:rsid w:val="007C7E9E"/>
    <w:rsid w:val="007C7EBE"/>
    <w:rsid w:val="007C7EEC"/>
    <w:rsid w:val="007D00DF"/>
    <w:rsid w:val="007D019B"/>
    <w:rsid w:val="007D033D"/>
    <w:rsid w:val="007D0719"/>
    <w:rsid w:val="007D08C7"/>
    <w:rsid w:val="007D0900"/>
    <w:rsid w:val="007D0904"/>
    <w:rsid w:val="007D09D3"/>
    <w:rsid w:val="007D0B54"/>
    <w:rsid w:val="007D0DCA"/>
    <w:rsid w:val="007D0DE4"/>
    <w:rsid w:val="007D0F68"/>
    <w:rsid w:val="007D10C2"/>
    <w:rsid w:val="007D1107"/>
    <w:rsid w:val="007D130B"/>
    <w:rsid w:val="007D19E1"/>
    <w:rsid w:val="007D19F4"/>
    <w:rsid w:val="007D1CCD"/>
    <w:rsid w:val="007D1D33"/>
    <w:rsid w:val="007D2037"/>
    <w:rsid w:val="007D224A"/>
    <w:rsid w:val="007D2268"/>
    <w:rsid w:val="007D2429"/>
    <w:rsid w:val="007D24F2"/>
    <w:rsid w:val="007D261E"/>
    <w:rsid w:val="007D27FC"/>
    <w:rsid w:val="007D2816"/>
    <w:rsid w:val="007D28F1"/>
    <w:rsid w:val="007D2A05"/>
    <w:rsid w:val="007D2B03"/>
    <w:rsid w:val="007D2BEA"/>
    <w:rsid w:val="007D2C81"/>
    <w:rsid w:val="007D2E50"/>
    <w:rsid w:val="007D2E53"/>
    <w:rsid w:val="007D2F8B"/>
    <w:rsid w:val="007D2FC1"/>
    <w:rsid w:val="007D2FE2"/>
    <w:rsid w:val="007D3029"/>
    <w:rsid w:val="007D3095"/>
    <w:rsid w:val="007D346C"/>
    <w:rsid w:val="007D351A"/>
    <w:rsid w:val="007D3700"/>
    <w:rsid w:val="007D3714"/>
    <w:rsid w:val="007D37A1"/>
    <w:rsid w:val="007D387D"/>
    <w:rsid w:val="007D39ED"/>
    <w:rsid w:val="007D3A0F"/>
    <w:rsid w:val="007D3B32"/>
    <w:rsid w:val="007D3B37"/>
    <w:rsid w:val="007D3CB5"/>
    <w:rsid w:val="007D406B"/>
    <w:rsid w:val="007D40BF"/>
    <w:rsid w:val="007D4233"/>
    <w:rsid w:val="007D433E"/>
    <w:rsid w:val="007D450C"/>
    <w:rsid w:val="007D467E"/>
    <w:rsid w:val="007D46F2"/>
    <w:rsid w:val="007D48AD"/>
    <w:rsid w:val="007D4C04"/>
    <w:rsid w:val="007D506E"/>
    <w:rsid w:val="007D517A"/>
    <w:rsid w:val="007D51A1"/>
    <w:rsid w:val="007D51C9"/>
    <w:rsid w:val="007D5203"/>
    <w:rsid w:val="007D52B7"/>
    <w:rsid w:val="007D5473"/>
    <w:rsid w:val="007D553E"/>
    <w:rsid w:val="007D5583"/>
    <w:rsid w:val="007D585A"/>
    <w:rsid w:val="007D5896"/>
    <w:rsid w:val="007D5A89"/>
    <w:rsid w:val="007D5B18"/>
    <w:rsid w:val="007D5B9D"/>
    <w:rsid w:val="007D5BE6"/>
    <w:rsid w:val="007D5C3A"/>
    <w:rsid w:val="007D5D15"/>
    <w:rsid w:val="007D5E55"/>
    <w:rsid w:val="007D6368"/>
    <w:rsid w:val="007D661B"/>
    <w:rsid w:val="007D67A7"/>
    <w:rsid w:val="007D69CA"/>
    <w:rsid w:val="007D6A6C"/>
    <w:rsid w:val="007D6ADC"/>
    <w:rsid w:val="007D6B56"/>
    <w:rsid w:val="007D6B80"/>
    <w:rsid w:val="007D6C16"/>
    <w:rsid w:val="007D6D06"/>
    <w:rsid w:val="007D6E37"/>
    <w:rsid w:val="007D6E50"/>
    <w:rsid w:val="007D6FAF"/>
    <w:rsid w:val="007D71F7"/>
    <w:rsid w:val="007D73E8"/>
    <w:rsid w:val="007D7609"/>
    <w:rsid w:val="007D76E7"/>
    <w:rsid w:val="007D771F"/>
    <w:rsid w:val="007D772A"/>
    <w:rsid w:val="007D7A68"/>
    <w:rsid w:val="007D7D69"/>
    <w:rsid w:val="007D7EF3"/>
    <w:rsid w:val="007E0334"/>
    <w:rsid w:val="007E047D"/>
    <w:rsid w:val="007E084E"/>
    <w:rsid w:val="007E0958"/>
    <w:rsid w:val="007E09ED"/>
    <w:rsid w:val="007E0A03"/>
    <w:rsid w:val="007E0ABE"/>
    <w:rsid w:val="007E0E44"/>
    <w:rsid w:val="007E0EC4"/>
    <w:rsid w:val="007E0F0E"/>
    <w:rsid w:val="007E10E3"/>
    <w:rsid w:val="007E1354"/>
    <w:rsid w:val="007E1392"/>
    <w:rsid w:val="007E15D6"/>
    <w:rsid w:val="007E166D"/>
    <w:rsid w:val="007E18FC"/>
    <w:rsid w:val="007E1AAD"/>
    <w:rsid w:val="007E1E68"/>
    <w:rsid w:val="007E1EF1"/>
    <w:rsid w:val="007E1F8A"/>
    <w:rsid w:val="007E2361"/>
    <w:rsid w:val="007E23F1"/>
    <w:rsid w:val="007E257B"/>
    <w:rsid w:val="007E25DE"/>
    <w:rsid w:val="007E26F2"/>
    <w:rsid w:val="007E2738"/>
    <w:rsid w:val="007E2951"/>
    <w:rsid w:val="007E29CC"/>
    <w:rsid w:val="007E29FF"/>
    <w:rsid w:val="007E2D2C"/>
    <w:rsid w:val="007E3031"/>
    <w:rsid w:val="007E30AE"/>
    <w:rsid w:val="007E3432"/>
    <w:rsid w:val="007E345D"/>
    <w:rsid w:val="007E35AA"/>
    <w:rsid w:val="007E36DB"/>
    <w:rsid w:val="007E375B"/>
    <w:rsid w:val="007E3850"/>
    <w:rsid w:val="007E3F41"/>
    <w:rsid w:val="007E40E0"/>
    <w:rsid w:val="007E4135"/>
    <w:rsid w:val="007E415D"/>
    <w:rsid w:val="007E44F5"/>
    <w:rsid w:val="007E45EB"/>
    <w:rsid w:val="007E482A"/>
    <w:rsid w:val="007E49BD"/>
    <w:rsid w:val="007E4AE1"/>
    <w:rsid w:val="007E4E7A"/>
    <w:rsid w:val="007E4F22"/>
    <w:rsid w:val="007E4FE1"/>
    <w:rsid w:val="007E507F"/>
    <w:rsid w:val="007E50EE"/>
    <w:rsid w:val="007E5101"/>
    <w:rsid w:val="007E51F5"/>
    <w:rsid w:val="007E52B7"/>
    <w:rsid w:val="007E530B"/>
    <w:rsid w:val="007E5372"/>
    <w:rsid w:val="007E5469"/>
    <w:rsid w:val="007E5526"/>
    <w:rsid w:val="007E5604"/>
    <w:rsid w:val="007E5830"/>
    <w:rsid w:val="007E5831"/>
    <w:rsid w:val="007E59E3"/>
    <w:rsid w:val="007E5A38"/>
    <w:rsid w:val="007E5B70"/>
    <w:rsid w:val="007E5D48"/>
    <w:rsid w:val="007E5DCE"/>
    <w:rsid w:val="007E644A"/>
    <w:rsid w:val="007E65B9"/>
    <w:rsid w:val="007E664C"/>
    <w:rsid w:val="007E665C"/>
    <w:rsid w:val="007E67B7"/>
    <w:rsid w:val="007E67BF"/>
    <w:rsid w:val="007E680D"/>
    <w:rsid w:val="007E6943"/>
    <w:rsid w:val="007E69CC"/>
    <w:rsid w:val="007E6BFE"/>
    <w:rsid w:val="007E6C38"/>
    <w:rsid w:val="007E6CC1"/>
    <w:rsid w:val="007E6D03"/>
    <w:rsid w:val="007E7183"/>
    <w:rsid w:val="007E739E"/>
    <w:rsid w:val="007E7532"/>
    <w:rsid w:val="007E7862"/>
    <w:rsid w:val="007E7884"/>
    <w:rsid w:val="007E7A90"/>
    <w:rsid w:val="007E7AA8"/>
    <w:rsid w:val="007E7AE0"/>
    <w:rsid w:val="007E7CB0"/>
    <w:rsid w:val="007E7D11"/>
    <w:rsid w:val="007E7D34"/>
    <w:rsid w:val="007E7FC5"/>
    <w:rsid w:val="007F002A"/>
    <w:rsid w:val="007F036B"/>
    <w:rsid w:val="007F0779"/>
    <w:rsid w:val="007F07C3"/>
    <w:rsid w:val="007F0903"/>
    <w:rsid w:val="007F0956"/>
    <w:rsid w:val="007F0EAD"/>
    <w:rsid w:val="007F0FB2"/>
    <w:rsid w:val="007F10BA"/>
    <w:rsid w:val="007F110D"/>
    <w:rsid w:val="007F12A1"/>
    <w:rsid w:val="007F1517"/>
    <w:rsid w:val="007F1869"/>
    <w:rsid w:val="007F1882"/>
    <w:rsid w:val="007F1905"/>
    <w:rsid w:val="007F1960"/>
    <w:rsid w:val="007F1BE2"/>
    <w:rsid w:val="007F1C42"/>
    <w:rsid w:val="007F1D3A"/>
    <w:rsid w:val="007F1D48"/>
    <w:rsid w:val="007F1E97"/>
    <w:rsid w:val="007F229F"/>
    <w:rsid w:val="007F24DB"/>
    <w:rsid w:val="007F2636"/>
    <w:rsid w:val="007F2765"/>
    <w:rsid w:val="007F2AFF"/>
    <w:rsid w:val="007F2DDB"/>
    <w:rsid w:val="007F2E1B"/>
    <w:rsid w:val="007F2F18"/>
    <w:rsid w:val="007F3469"/>
    <w:rsid w:val="007F35C2"/>
    <w:rsid w:val="007F37BB"/>
    <w:rsid w:val="007F37C0"/>
    <w:rsid w:val="007F394D"/>
    <w:rsid w:val="007F3AF1"/>
    <w:rsid w:val="007F3B8C"/>
    <w:rsid w:val="007F3E31"/>
    <w:rsid w:val="007F3EC6"/>
    <w:rsid w:val="007F3FE7"/>
    <w:rsid w:val="007F4132"/>
    <w:rsid w:val="007F435B"/>
    <w:rsid w:val="007F44C8"/>
    <w:rsid w:val="007F45EC"/>
    <w:rsid w:val="007F47F8"/>
    <w:rsid w:val="007F4E5A"/>
    <w:rsid w:val="007F4F6E"/>
    <w:rsid w:val="007F53FF"/>
    <w:rsid w:val="007F5511"/>
    <w:rsid w:val="007F559B"/>
    <w:rsid w:val="007F5967"/>
    <w:rsid w:val="007F5B6F"/>
    <w:rsid w:val="007F5BC4"/>
    <w:rsid w:val="007F5CE1"/>
    <w:rsid w:val="007F5E78"/>
    <w:rsid w:val="007F6069"/>
    <w:rsid w:val="007F615E"/>
    <w:rsid w:val="007F627A"/>
    <w:rsid w:val="007F6310"/>
    <w:rsid w:val="007F637A"/>
    <w:rsid w:val="007F6D2F"/>
    <w:rsid w:val="007F6EA1"/>
    <w:rsid w:val="007F6FE1"/>
    <w:rsid w:val="007F73B9"/>
    <w:rsid w:val="007F748A"/>
    <w:rsid w:val="007F74A8"/>
    <w:rsid w:val="007F765A"/>
    <w:rsid w:val="007F7660"/>
    <w:rsid w:val="007F7784"/>
    <w:rsid w:val="007F77C1"/>
    <w:rsid w:val="007F7895"/>
    <w:rsid w:val="007F7A2A"/>
    <w:rsid w:val="007F7CD7"/>
    <w:rsid w:val="007F7D22"/>
    <w:rsid w:val="007F7F5F"/>
    <w:rsid w:val="007F7FAC"/>
    <w:rsid w:val="008001A7"/>
    <w:rsid w:val="008001D3"/>
    <w:rsid w:val="008004A8"/>
    <w:rsid w:val="00800689"/>
    <w:rsid w:val="00800716"/>
    <w:rsid w:val="00800A39"/>
    <w:rsid w:val="00800A4A"/>
    <w:rsid w:val="00800AC2"/>
    <w:rsid w:val="00800AE2"/>
    <w:rsid w:val="00800BF5"/>
    <w:rsid w:val="00800C33"/>
    <w:rsid w:val="00800EBC"/>
    <w:rsid w:val="00800F55"/>
    <w:rsid w:val="00800F74"/>
    <w:rsid w:val="00800F7F"/>
    <w:rsid w:val="00800FDE"/>
    <w:rsid w:val="00801013"/>
    <w:rsid w:val="0080124F"/>
    <w:rsid w:val="0080136D"/>
    <w:rsid w:val="008013FD"/>
    <w:rsid w:val="008015E7"/>
    <w:rsid w:val="00801859"/>
    <w:rsid w:val="00801AB7"/>
    <w:rsid w:val="00801B82"/>
    <w:rsid w:val="00802072"/>
    <w:rsid w:val="008020B5"/>
    <w:rsid w:val="008021F0"/>
    <w:rsid w:val="0080256C"/>
    <w:rsid w:val="008026B4"/>
    <w:rsid w:val="008026D6"/>
    <w:rsid w:val="00802776"/>
    <w:rsid w:val="008029B4"/>
    <w:rsid w:val="00802B7E"/>
    <w:rsid w:val="00802DFE"/>
    <w:rsid w:val="00802E59"/>
    <w:rsid w:val="00802F72"/>
    <w:rsid w:val="00803001"/>
    <w:rsid w:val="00803074"/>
    <w:rsid w:val="0080312D"/>
    <w:rsid w:val="0080339F"/>
    <w:rsid w:val="00803534"/>
    <w:rsid w:val="0080365C"/>
    <w:rsid w:val="008036CB"/>
    <w:rsid w:val="00803723"/>
    <w:rsid w:val="008037BC"/>
    <w:rsid w:val="0080392F"/>
    <w:rsid w:val="008039A1"/>
    <w:rsid w:val="008039B0"/>
    <w:rsid w:val="00803B6A"/>
    <w:rsid w:val="00803BD8"/>
    <w:rsid w:val="00803BFA"/>
    <w:rsid w:val="00803CC9"/>
    <w:rsid w:val="00803E7D"/>
    <w:rsid w:val="00803FAA"/>
    <w:rsid w:val="00804134"/>
    <w:rsid w:val="008042D5"/>
    <w:rsid w:val="008043A0"/>
    <w:rsid w:val="00804569"/>
    <w:rsid w:val="00804637"/>
    <w:rsid w:val="0080482D"/>
    <w:rsid w:val="00804A9A"/>
    <w:rsid w:val="00804AC1"/>
    <w:rsid w:val="00804ADE"/>
    <w:rsid w:val="00804C10"/>
    <w:rsid w:val="00804D32"/>
    <w:rsid w:val="00804DFF"/>
    <w:rsid w:val="00804E0D"/>
    <w:rsid w:val="00804F53"/>
    <w:rsid w:val="0080506C"/>
    <w:rsid w:val="00805161"/>
    <w:rsid w:val="00805179"/>
    <w:rsid w:val="008053A1"/>
    <w:rsid w:val="0080571F"/>
    <w:rsid w:val="0080582C"/>
    <w:rsid w:val="0080585A"/>
    <w:rsid w:val="00805876"/>
    <w:rsid w:val="00805886"/>
    <w:rsid w:val="008058E5"/>
    <w:rsid w:val="008059D6"/>
    <w:rsid w:val="00805A6A"/>
    <w:rsid w:val="00805A97"/>
    <w:rsid w:val="00805BF3"/>
    <w:rsid w:val="00805F3F"/>
    <w:rsid w:val="00806209"/>
    <w:rsid w:val="0080644A"/>
    <w:rsid w:val="0080658F"/>
    <w:rsid w:val="008066DE"/>
    <w:rsid w:val="00806AD4"/>
    <w:rsid w:val="00806BB5"/>
    <w:rsid w:val="0080701F"/>
    <w:rsid w:val="00807067"/>
    <w:rsid w:val="00807108"/>
    <w:rsid w:val="008071DD"/>
    <w:rsid w:val="008079D0"/>
    <w:rsid w:val="00807A7B"/>
    <w:rsid w:val="00807BDA"/>
    <w:rsid w:val="00807D8D"/>
    <w:rsid w:val="00807DA7"/>
    <w:rsid w:val="00810010"/>
    <w:rsid w:val="00810376"/>
    <w:rsid w:val="008109E2"/>
    <w:rsid w:val="00810A5F"/>
    <w:rsid w:val="00810AC5"/>
    <w:rsid w:val="00810CB7"/>
    <w:rsid w:val="0081106F"/>
    <w:rsid w:val="0081111B"/>
    <w:rsid w:val="0081142E"/>
    <w:rsid w:val="008114EB"/>
    <w:rsid w:val="008116A4"/>
    <w:rsid w:val="00811706"/>
    <w:rsid w:val="0081172B"/>
    <w:rsid w:val="00811836"/>
    <w:rsid w:val="00811AA7"/>
    <w:rsid w:val="00811B6D"/>
    <w:rsid w:val="00811C34"/>
    <w:rsid w:val="00811ED3"/>
    <w:rsid w:val="00812153"/>
    <w:rsid w:val="0081215A"/>
    <w:rsid w:val="00812719"/>
    <w:rsid w:val="008127BB"/>
    <w:rsid w:val="008127C6"/>
    <w:rsid w:val="008128CA"/>
    <w:rsid w:val="008128E2"/>
    <w:rsid w:val="00812B3F"/>
    <w:rsid w:val="00813243"/>
    <w:rsid w:val="008133DD"/>
    <w:rsid w:val="00813401"/>
    <w:rsid w:val="008138FF"/>
    <w:rsid w:val="00813C0E"/>
    <w:rsid w:val="00813C2F"/>
    <w:rsid w:val="00813D75"/>
    <w:rsid w:val="00813F32"/>
    <w:rsid w:val="00813FB7"/>
    <w:rsid w:val="008140F7"/>
    <w:rsid w:val="00814299"/>
    <w:rsid w:val="008142EC"/>
    <w:rsid w:val="008144AE"/>
    <w:rsid w:val="00814811"/>
    <w:rsid w:val="00814960"/>
    <w:rsid w:val="00814B2B"/>
    <w:rsid w:val="00814D27"/>
    <w:rsid w:val="00814D3D"/>
    <w:rsid w:val="00814E3F"/>
    <w:rsid w:val="00815164"/>
    <w:rsid w:val="008151F9"/>
    <w:rsid w:val="00815379"/>
    <w:rsid w:val="00815476"/>
    <w:rsid w:val="008155EE"/>
    <w:rsid w:val="00815675"/>
    <w:rsid w:val="00815749"/>
    <w:rsid w:val="008157E7"/>
    <w:rsid w:val="00815C4C"/>
    <w:rsid w:val="00815EEC"/>
    <w:rsid w:val="00816010"/>
    <w:rsid w:val="0081606F"/>
    <w:rsid w:val="008160BB"/>
    <w:rsid w:val="00816239"/>
    <w:rsid w:val="008163B0"/>
    <w:rsid w:val="008165D0"/>
    <w:rsid w:val="00816802"/>
    <w:rsid w:val="00816A92"/>
    <w:rsid w:val="00816B1E"/>
    <w:rsid w:val="00816D28"/>
    <w:rsid w:val="00816EC4"/>
    <w:rsid w:val="00817187"/>
    <w:rsid w:val="00817284"/>
    <w:rsid w:val="008172ED"/>
    <w:rsid w:val="008174D0"/>
    <w:rsid w:val="008176A5"/>
    <w:rsid w:val="00817909"/>
    <w:rsid w:val="008179EE"/>
    <w:rsid w:val="00817B63"/>
    <w:rsid w:val="00817D33"/>
    <w:rsid w:val="00817E0F"/>
    <w:rsid w:val="00817EA4"/>
    <w:rsid w:val="008200C1"/>
    <w:rsid w:val="008204A0"/>
    <w:rsid w:val="008208BC"/>
    <w:rsid w:val="008209EB"/>
    <w:rsid w:val="008209F3"/>
    <w:rsid w:val="00820BF5"/>
    <w:rsid w:val="00820F2C"/>
    <w:rsid w:val="00820FC1"/>
    <w:rsid w:val="0082107B"/>
    <w:rsid w:val="00821257"/>
    <w:rsid w:val="0082125B"/>
    <w:rsid w:val="008212BC"/>
    <w:rsid w:val="00821639"/>
    <w:rsid w:val="008216DB"/>
    <w:rsid w:val="008216F1"/>
    <w:rsid w:val="00821737"/>
    <w:rsid w:val="0082191D"/>
    <w:rsid w:val="0082199E"/>
    <w:rsid w:val="00821A44"/>
    <w:rsid w:val="00821A9A"/>
    <w:rsid w:val="00821D98"/>
    <w:rsid w:val="00821F86"/>
    <w:rsid w:val="00821F9E"/>
    <w:rsid w:val="008221B8"/>
    <w:rsid w:val="00822318"/>
    <w:rsid w:val="00822771"/>
    <w:rsid w:val="0082279B"/>
    <w:rsid w:val="00822903"/>
    <w:rsid w:val="00822C20"/>
    <w:rsid w:val="00822D04"/>
    <w:rsid w:val="00822D07"/>
    <w:rsid w:val="00822D22"/>
    <w:rsid w:val="00822D8F"/>
    <w:rsid w:val="00822DC2"/>
    <w:rsid w:val="00822EDA"/>
    <w:rsid w:val="00822EE4"/>
    <w:rsid w:val="00822F61"/>
    <w:rsid w:val="0082300B"/>
    <w:rsid w:val="00823010"/>
    <w:rsid w:val="0082307F"/>
    <w:rsid w:val="008230EE"/>
    <w:rsid w:val="008234C8"/>
    <w:rsid w:val="008234DD"/>
    <w:rsid w:val="00823521"/>
    <w:rsid w:val="008235D8"/>
    <w:rsid w:val="0082361B"/>
    <w:rsid w:val="00823680"/>
    <w:rsid w:val="00823720"/>
    <w:rsid w:val="008237C0"/>
    <w:rsid w:val="00823840"/>
    <w:rsid w:val="008238DB"/>
    <w:rsid w:val="00823915"/>
    <w:rsid w:val="008239E4"/>
    <w:rsid w:val="00823B32"/>
    <w:rsid w:val="00823C42"/>
    <w:rsid w:val="00823E69"/>
    <w:rsid w:val="00823F8A"/>
    <w:rsid w:val="008240BE"/>
    <w:rsid w:val="0082415D"/>
    <w:rsid w:val="00824262"/>
    <w:rsid w:val="008243A4"/>
    <w:rsid w:val="008244E1"/>
    <w:rsid w:val="00824573"/>
    <w:rsid w:val="008247AB"/>
    <w:rsid w:val="00824A06"/>
    <w:rsid w:val="00824A38"/>
    <w:rsid w:val="00824B66"/>
    <w:rsid w:val="00824D74"/>
    <w:rsid w:val="00824E08"/>
    <w:rsid w:val="00825244"/>
    <w:rsid w:val="008253AA"/>
    <w:rsid w:val="008254A9"/>
    <w:rsid w:val="00825643"/>
    <w:rsid w:val="00825776"/>
    <w:rsid w:val="008257EC"/>
    <w:rsid w:val="00825CC4"/>
    <w:rsid w:val="00825E62"/>
    <w:rsid w:val="00826115"/>
    <w:rsid w:val="00826178"/>
    <w:rsid w:val="00826209"/>
    <w:rsid w:val="00826375"/>
    <w:rsid w:val="008264A4"/>
    <w:rsid w:val="008264BE"/>
    <w:rsid w:val="00826695"/>
    <w:rsid w:val="00826779"/>
    <w:rsid w:val="0082681D"/>
    <w:rsid w:val="00826854"/>
    <w:rsid w:val="008268BF"/>
    <w:rsid w:val="00826DB6"/>
    <w:rsid w:val="00826E47"/>
    <w:rsid w:val="00827600"/>
    <w:rsid w:val="0082774F"/>
    <w:rsid w:val="008278FE"/>
    <w:rsid w:val="00827BDC"/>
    <w:rsid w:val="00827CF9"/>
    <w:rsid w:val="00827E8F"/>
    <w:rsid w:val="00830241"/>
    <w:rsid w:val="0083026A"/>
    <w:rsid w:val="0083029B"/>
    <w:rsid w:val="00830927"/>
    <w:rsid w:val="00830AA9"/>
    <w:rsid w:val="00830AE9"/>
    <w:rsid w:val="00830B71"/>
    <w:rsid w:val="00830C8D"/>
    <w:rsid w:val="00830E38"/>
    <w:rsid w:val="00830FE0"/>
    <w:rsid w:val="0083112D"/>
    <w:rsid w:val="008312FF"/>
    <w:rsid w:val="0083134D"/>
    <w:rsid w:val="008315BE"/>
    <w:rsid w:val="008317A7"/>
    <w:rsid w:val="008318AD"/>
    <w:rsid w:val="008318CB"/>
    <w:rsid w:val="00831A31"/>
    <w:rsid w:val="00831AEF"/>
    <w:rsid w:val="00831AF8"/>
    <w:rsid w:val="00831C65"/>
    <w:rsid w:val="00831CFE"/>
    <w:rsid w:val="00831D86"/>
    <w:rsid w:val="00831E4A"/>
    <w:rsid w:val="00831F37"/>
    <w:rsid w:val="00831FA5"/>
    <w:rsid w:val="00831FD2"/>
    <w:rsid w:val="008323C7"/>
    <w:rsid w:val="00832495"/>
    <w:rsid w:val="00832685"/>
    <w:rsid w:val="00832901"/>
    <w:rsid w:val="00832A44"/>
    <w:rsid w:val="00832C65"/>
    <w:rsid w:val="00832CCC"/>
    <w:rsid w:val="00832ED8"/>
    <w:rsid w:val="00832FA0"/>
    <w:rsid w:val="0083305C"/>
    <w:rsid w:val="00833315"/>
    <w:rsid w:val="00833340"/>
    <w:rsid w:val="008333F5"/>
    <w:rsid w:val="00833470"/>
    <w:rsid w:val="0083347B"/>
    <w:rsid w:val="00833480"/>
    <w:rsid w:val="00833680"/>
    <w:rsid w:val="0083378C"/>
    <w:rsid w:val="0083391B"/>
    <w:rsid w:val="00833B7B"/>
    <w:rsid w:val="00833DF1"/>
    <w:rsid w:val="00834258"/>
    <w:rsid w:val="00834290"/>
    <w:rsid w:val="00834585"/>
    <w:rsid w:val="008346A1"/>
    <w:rsid w:val="00834800"/>
    <w:rsid w:val="00834D45"/>
    <w:rsid w:val="00834D58"/>
    <w:rsid w:val="00835025"/>
    <w:rsid w:val="00835187"/>
    <w:rsid w:val="00835249"/>
    <w:rsid w:val="0083528B"/>
    <w:rsid w:val="008354D8"/>
    <w:rsid w:val="0083562E"/>
    <w:rsid w:val="008357E2"/>
    <w:rsid w:val="008358AD"/>
    <w:rsid w:val="00835964"/>
    <w:rsid w:val="008359A7"/>
    <w:rsid w:val="00836030"/>
    <w:rsid w:val="008360D0"/>
    <w:rsid w:val="00836122"/>
    <w:rsid w:val="008361DA"/>
    <w:rsid w:val="008362B1"/>
    <w:rsid w:val="008362BA"/>
    <w:rsid w:val="0083669E"/>
    <w:rsid w:val="00836944"/>
    <w:rsid w:val="00836DDF"/>
    <w:rsid w:val="00837103"/>
    <w:rsid w:val="0083725F"/>
    <w:rsid w:val="008373C8"/>
    <w:rsid w:val="0083755B"/>
    <w:rsid w:val="00837706"/>
    <w:rsid w:val="00837752"/>
    <w:rsid w:val="00837938"/>
    <w:rsid w:val="00837939"/>
    <w:rsid w:val="00837BAA"/>
    <w:rsid w:val="00837BE8"/>
    <w:rsid w:val="00837C71"/>
    <w:rsid w:val="00837C93"/>
    <w:rsid w:val="00837CCD"/>
    <w:rsid w:val="00837E02"/>
    <w:rsid w:val="00837F00"/>
    <w:rsid w:val="008405BF"/>
    <w:rsid w:val="0084065B"/>
    <w:rsid w:val="0084068C"/>
    <w:rsid w:val="008406AA"/>
    <w:rsid w:val="00840A57"/>
    <w:rsid w:val="00840C17"/>
    <w:rsid w:val="00840E59"/>
    <w:rsid w:val="00840E9A"/>
    <w:rsid w:val="00840EBE"/>
    <w:rsid w:val="00840ED6"/>
    <w:rsid w:val="00841230"/>
    <w:rsid w:val="008413B4"/>
    <w:rsid w:val="0084143A"/>
    <w:rsid w:val="00841B02"/>
    <w:rsid w:val="00841CC0"/>
    <w:rsid w:val="00841CC9"/>
    <w:rsid w:val="00841F75"/>
    <w:rsid w:val="008422A2"/>
    <w:rsid w:val="008422B9"/>
    <w:rsid w:val="0084243E"/>
    <w:rsid w:val="00842578"/>
    <w:rsid w:val="00842599"/>
    <w:rsid w:val="008426FC"/>
    <w:rsid w:val="00842805"/>
    <w:rsid w:val="008429AC"/>
    <w:rsid w:val="00842B37"/>
    <w:rsid w:val="00842BD0"/>
    <w:rsid w:val="00842D9C"/>
    <w:rsid w:val="00842F50"/>
    <w:rsid w:val="008430B5"/>
    <w:rsid w:val="008431A2"/>
    <w:rsid w:val="008432A9"/>
    <w:rsid w:val="00843431"/>
    <w:rsid w:val="00843601"/>
    <w:rsid w:val="008439E3"/>
    <w:rsid w:val="008439F5"/>
    <w:rsid w:val="00844237"/>
    <w:rsid w:val="00844304"/>
    <w:rsid w:val="00844330"/>
    <w:rsid w:val="0084439C"/>
    <w:rsid w:val="008445D6"/>
    <w:rsid w:val="008445E9"/>
    <w:rsid w:val="00844631"/>
    <w:rsid w:val="008446BA"/>
    <w:rsid w:val="00844D1E"/>
    <w:rsid w:val="00844E76"/>
    <w:rsid w:val="00844EA0"/>
    <w:rsid w:val="00844FAB"/>
    <w:rsid w:val="00844FED"/>
    <w:rsid w:val="00845396"/>
    <w:rsid w:val="008454ED"/>
    <w:rsid w:val="00845669"/>
    <w:rsid w:val="008457E2"/>
    <w:rsid w:val="008459F7"/>
    <w:rsid w:val="00845A19"/>
    <w:rsid w:val="00845A5E"/>
    <w:rsid w:val="00845B38"/>
    <w:rsid w:val="00845BAC"/>
    <w:rsid w:val="00845C78"/>
    <w:rsid w:val="00845D6F"/>
    <w:rsid w:val="00845E75"/>
    <w:rsid w:val="00845EB4"/>
    <w:rsid w:val="00845EF7"/>
    <w:rsid w:val="00845F96"/>
    <w:rsid w:val="0084603A"/>
    <w:rsid w:val="0084610B"/>
    <w:rsid w:val="00846223"/>
    <w:rsid w:val="00846236"/>
    <w:rsid w:val="008462B4"/>
    <w:rsid w:val="008462BC"/>
    <w:rsid w:val="00846390"/>
    <w:rsid w:val="00846819"/>
    <w:rsid w:val="00846ADB"/>
    <w:rsid w:val="00846B80"/>
    <w:rsid w:val="00846BAF"/>
    <w:rsid w:val="00847017"/>
    <w:rsid w:val="008470A4"/>
    <w:rsid w:val="00847343"/>
    <w:rsid w:val="0084762F"/>
    <w:rsid w:val="00847632"/>
    <w:rsid w:val="0084777A"/>
    <w:rsid w:val="00847D16"/>
    <w:rsid w:val="00847D88"/>
    <w:rsid w:val="00847DE5"/>
    <w:rsid w:val="0085022E"/>
    <w:rsid w:val="00850913"/>
    <w:rsid w:val="00850A2C"/>
    <w:rsid w:val="00850AF1"/>
    <w:rsid w:val="00850DE1"/>
    <w:rsid w:val="00850F29"/>
    <w:rsid w:val="00851138"/>
    <w:rsid w:val="008511DB"/>
    <w:rsid w:val="008514FE"/>
    <w:rsid w:val="00851504"/>
    <w:rsid w:val="0085163F"/>
    <w:rsid w:val="0085190B"/>
    <w:rsid w:val="0085195C"/>
    <w:rsid w:val="00851A4E"/>
    <w:rsid w:val="00851A6F"/>
    <w:rsid w:val="00851AA0"/>
    <w:rsid w:val="00851AE1"/>
    <w:rsid w:val="00851B2E"/>
    <w:rsid w:val="00851C23"/>
    <w:rsid w:val="00851D1E"/>
    <w:rsid w:val="00851D52"/>
    <w:rsid w:val="00851E78"/>
    <w:rsid w:val="00851FE0"/>
    <w:rsid w:val="0085206F"/>
    <w:rsid w:val="008520CB"/>
    <w:rsid w:val="008522E1"/>
    <w:rsid w:val="00852444"/>
    <w:rsid w:val="008524B3"/>
    <w:rsid w:val="008524EA"/>
    <w:rsid w:val="00852569"/>
    <w:rsid w:val="0085257D"/>
    <w:rsid w:val="00852666"/>
    <w:rsid w:val="00852678"/>
    <w:rsid w:val="008527C6"/>
    <w:rsid w:val="00852A2A"/>
    <w:rsid w:val="00852C7F"/>
    <w:rsid w:val="00852F62"/>
    <w:rsid w:val="008531A7"/>
    <w:rsid w:val="00853401"/>
    <w:rsid w:val="0085371F"/>
    <w:rsid w:val="0085374B"/>
    <w:rsid w:val="00853964"/>
    <w:rsid w:val="00853A9A"/>
    <w:rsid w:val="00853B41"/>
    <w:rsid w:val="00853F2E"/>
    <w:rsid w:val="00853FB2"/>
    <w:rsid w:val="0085411B"/>
    <w:rsid w:val="008541AE"/>
    <w:rsid w:val="008542DA"/>
    <w:rsid w:val="008546CD"/>
    <w:rsid w:val="008548C9"/>
    <w:rsid w:val="00854B7D"/>
    <w:rsid w:val="00854D90"/>
    <w:rsid w:val="00854E44"/>
    <w:rsid w:val="00854E58"/>
    <w:rsid w:val="00854EA9"/>
    <w:rsid w:val="00854FC2"/>
    <w:rsid w:val="008554A0"/>
    <w:rsid w:val="0085572D"/>
    <w:rsid w:val="0085598C"/>
    <w:rsid w:val="0085598F"/>
    <w:rsid w:val="008559C1"/>
    <w:rsid w:val="00855CBF"/>
    <w:rsid w:val="00855CED"/>
    <w:rsid w:val="008560F6"/>
    <w:rsid w:val="008560FA"/>
    <w:rsid w:val="00856334"/>
    <w:rsid w:val="00856348"/>
    <w:rsid w:val="0085634F"/>
    <w:rsid w:val="00856481"/>
    <w:rsid w:val="008564FF"/>
    <w:rsid w:val="008565F9"/>
    <w:rsid w:val="0085668E"/>
    <w:rsid w:val="0085693B"/>
    <w:rsid w:val="00856A70"/>
    <w:rsid w:val="00856BC7"/>
    <w:rsid w:val="00856E4E"/>
    <w:rsid w:val="00857121"/>
    <w:rsid w:val="00857293"/>
    <w:rsid w:val="0085741A"/>
    <w:rsid w:val="0085746E"/>
    <w:rsid w:val="0085759D"/>
    <w:rsid w:val="008575B5"/>
    <w:rsid w:val="008575D8"/>
    <w:rsid w:val="00857946"/>
    <w:rsid w:val="00857A4B"/>
    <w:rsid w:val="00857EEA"/>
    <w:rsid w:val="00857F2B"/>
    <w:rsid w:val="0086006E"/>
    <w:rsid w:val="008600A5"/>
    <w:rsid w:val="00860585"/>
    <w:rsid w:val="00860732"/>
    <w:rsid w:val="00860895"/>
    <w:rsid w:val="00860944"/>
    <w:rsid w:val="00860BE9"/>
    <w:rsid w:val="00860D3B"/>
    <w:rsid w:val="00860D81"/>
    <w:rsid w:val="00860E5A"/>
    <w:rsid w:val="00860FB4"/>
    <w:rsid w:val="00861051"/>
    <w:rsid w:val="008611DB"/>
    <w:rsid w:val="008612E7"/>
    <w:rsid w:val="0086134C"/>
    <w:rsid w:val="0086142D"/>
    <w:rsid w:val="00861562"/>
    <w:rsid w:val="0086170B"/>
    <w:rsid w:val="0086182E"/>
    <w:rsid w:val="00861AA9"/>
    <w:rsid w:val="00861AE3"/>
    <w:rsid w:val="00861BC5"/>
    <w:rsid w:val="00861BFF"/>
    <w:rsid w:val="00861EDC"/>
    <w:rsid w:val="00861F98"/>
    <w:rsid w:val="00862007"/>
    <w:rsid w:val="008621FA"/>
    <w:rsid w:val="008622A6"/>
    <w:rsid w:val="00862426"/>
    <w:rsid w:val="0086243C"/>
    <w:rsid w:val="008624BD"/>
    <w:rsid w:val="008624DF"/>
    <w:rsid w:val="008629C5"/>
    <w:rsid w:val="00862A48"/>
    <w:rsid w:val="00862AB8"/>
    <w:rsid w:val="00862C74"/>
    <w:rsid w:val="00862CEB"/>
    <w:rsid w:val="00862D9B"/>
    <w:rsid w:val="00862DBC"/>
    <w:rsid w:val="00862EFE"/>
    <w:rsid w:val="00862FD7"/>
    <w:rsid w:val="00863131"/>
    <w:rsid w:val="008631A2"/>
    <w:rsid w:val="00863284"/>
    <w:rsid w:val="008632A0"/>
    <w:rsid w:val="00863566"/>
    <w:rsid w:val="0086361D"/>
    <w:rsid w:val="00863773"/>
    <w:rsid w:val="0086396A"/>
    <w:rsid w:val="00863A9D"/>
    <w:rsid w:val="008640DF"/>
    <w:rsid w:val="008640F8"/>
    <w:rsid w:val="0086437C"/>
    <w:rsid w:val="00864537"/>
    <w:rsid w:val="00864676"/>
    <w:rsid w:val="0086467F"/>
    <w:rsid w:val="00864758"/>
    <w:rsid w:val="00864A32"/>
    <w:rsid w:val="00864BDE"/>
    <w:rsid w:val="00864C16"/>
    <w:rsid w:val="00864ED2"/>
    <w:rsid w:val="00864FC4"/>
    <w:rsid w:val="008650FB"/>
    <w:rsid w:val="008651B5"/>
    <w:rsid w:val="008653E6"/>
    <w:rsid w:val="00865553"/>
    <w:rsid w:val="00865609"/>
    <w:rsid w:val="008657CA"/>
    <w:rsid w:val="008659FE"/>
    <w:rsid w:val="00865A40"/>
    <w:rsid w:val="00865E92"/>
    <w:rsid w:val="00865FAF"/>
    <w:rsid w:val="00866250"/>
    <w:rsid w:val="00866AE6"/>
    <w:rsid w:val="00866D9E"/>
    <w:rsid w:val="00866ED6"/>
    <w:rsid w:val="00866FE3"/>
    <w:rsid w:val="00867182"/>
    <w:rsid w:val="008671D4"/>
    <w:rsid w:val="008671FD"/>
    <w:rsid w:val="008675CB"/>
    <w:rsid w:val="00867635"/>
    <w:rsid w:val="00867698"/>
    <w:rsid w:val="008676BF"/>
    <w:rsid w:val="0086776F"/>
    <w:rsid w:val="00867779"/>
    <w:rsid w:val="008678A2"/>
    <w:rsid w:val="00867BAF"/>
    <w:rsid w:val="00867DDC"/>
    <w:rsid w:val="00867ECE"/>
    <w:rsid w:val="008700D8"/>
    <w:rsid w:val="00870101"/>
    <w:rsid w:val="00870103"/>
    <w:rsid w:val="0087014B"/>
    <w:rsid w:val="008701E3"/>
    <w:rsid w:val="00870412"/>
    <w:rsid w:val="00870487"/>
    <w:rsid w:val="008704B7"/>
    <w:rsid w:val="008704E2"/>
    <w:rsid w:val="008708AC"/>
    <w:rsid w:val="00870B74"/>
    <w:rsid w:val="00870C4C"/>
    <w:rsid w:val="00870F6B"/>
    <w:rsid w:val="00870F81"/>
    <w:rsid w:val="008711FF"/>
    <w:rsid w:val="0087125A"/>
    <w:rsid w:val="0087129C"/>
    <w:rsid w:val="008712DD"/>
    <w:rsid w:val="008715D0"/>
    <w:rsid w:val="00871709"/>
    <w:rsid w:val="00871849"/>
    <w:rsid w:val="00871A7D"/>
    <w:rsid w:val="00871C88"/>
    <w:rsid w:val="00871CE1"/>
    <w:rsid w:val="00871D33"/>
    <w:rsid w:val="00871DBD"/>
    <w:rsid w:val="00871E13"/>
    <w:rsid w:val="00872190"/>
    <w:rsid w:val="008721D1"/>
    <w:rsid w:val="008725DE"/>
    <w:rsid w:val="00872A8E"/>
    <w:rsid w:val="00872B03"/>
    <w:rsid w:val="00872B70"/>
    <w:rsid w:val="00872F9A"/>
    <w:rsid w:val="008730FC"/>
    <w:rsid w:val="00873119"/>
    <w:rsid w:val="008732B9"/>
    <w:rsid w:val="008732F3"/>
    <w:rsid w:val="00873419"/>
    <w:rsid w:val="00873452"/>
    <w:rsid w:val="008734E6"/>
    <w:rsid w:val="00873545"/>
    <w:rsid w:val="0087364E"/>
    <w:rsid w:val="008736AF"/>
    <w:rsid w:val="008738DF"/>
    <w:rsid w:val="00873AFB"/>
    <w:rsid w:val="00873B42"/>
    <w:rsid w:val="00873D73"/>
    <w:rsid w:val="00873DEA"/>
    <w:rsid w:val="0087401E"/>
    <w:rsid w:val="0087419F"/>
    <w:rsid w:val="00874264"/>
    <w:rsid w:val="00874318"/>
    <w:rsid w:val="008743F4"/>
    <w:rsid w:val="00875020"/>
    <w:rsid w:val="008751A6"/>
    <w:rsid w:val="0087546C"/>
    <w:rsid w:val="00875586"/>
    <w:rsid w:val="008756DE"/>
    <w:rsid w:val="00875A74"/>
    <w:rsid w:val="00875A98"/>
    <w:rsid w:val="00875DCF"/>
    <w:rsid w:val="00875F94"/>
    <w:rsid w:val="00876300"/>
    <w:rsid w:val="008763DF"/>
    <w:rsid w:val="008764C4"/>
    <w:rsid w:val="00876670"/>
    <w:rsid w:val="008766E6"/>
    <w:rsid w:val="0087688D"/>
    <w:rsid w:val="008768CA"/>
    <w:rsid w:val="00876A25"/>
    <w:rsid w:val="00876A6B"/>
    <w:rsid w:val="0087712B"/>
    <w:rsid w:val="008771E6"/>
    <w:rsid w:val="008772E5"/>
    <w:rsid w:val="008772FD"/>
    <w:rsid w:val="00877364"/>
    <w:rsid w:val="008773C0"/>
    <w:rsid w:val="00877536"/>
    <w:rsid w:val="00877858"/>
    <w:rsid w:val="008779CA"/>
    <w:rsid w:val="00877A05"/>
    <w:rsid w:val="00877A34"/>
    <w:rsid w:val="00877ABD"/>
    <w:rsid w:val="00877B01"/>
    <w:rsid w:val="00877C02"/>
    <w:rsid w:val="00877C9A"/>
    <w:rsid w:val="00877CCF"/>
    <w:rsid w:val="00877D6A"/>
    <w:rsid w:val="00877EC6"/>
    <w:rsid w:val="00877F0F"/>
    <w:rsid w:val="00880029"/>
    <w:rsid w:val="0088011C"/>
    <w:rsid w:val="008801C4"/>
    <w:rsid w:val="008804A3"/>
    <w:rsid w:val="008804CD"/>
    <w:rsid w:val="00880538"/>
    <w:rsid w:val="008805A0"/>
    <w:rsid w:val="008805EF"/>
    <w:rsid w:val="00880724"/>
    <w:rsid w:val="0088085D"/>
    <w:rsid w:val="00880929"/>
    <w:rsid w:val="0088099B"/>
    <w:rsid w:val="008809FF"/>
    <w:rsid w:val="00880A2E"/>
    <w:rsid w:val="00880A99"/>
    <w:rsid w:val="00880C8F"/>
    <w:rsid w:val="00880D1E"/>
    <w:rsid w:val="00880D59"/>
    <w:rsid w:val="00880DBD"/>
    <w:rsid w:val="00880DE6"/>
    <w:rsid w:val="00880ED1"/>
    <w:rsid w:val="00880FFE"/>
    <w:rsid w:val="0088108A"/>
    <w:rsid w:val="008810D0"/>
    <w:rsid w:val="008812A8"/>
    <w:rsid w:val="00881691"/>
    <w:rsid w:val="008817BC"/>
    <w:rsid w:val="008818EC"/>
    <w:rsid w:val="00881A70"/>
    <w:rsid w:val="00881AD9"/>
    <w:rsid w:val="00881B4D"/>
    <w:rsid w:val="00881C8C"/>
    <w:rsid w:val="00881D45"/>
    <w:rsid w:val="00881E5E"/>
    <w:rsid w:val="00881ECD"/>
    <w:rsid w:val="008820BA"/>
    <w:rsid w:val="00882285"/>
    <w:rsid w:val="00882289"/>
    <w:rsid w:val="008824B1"/>
    <w:rsid w:val="008827FB"/>
    <w:rsid w:val="00882842"/>
    <w:rsid w:val="008828E5"/>
    <w:rsid w:val="00882C5B"/>
    <w:rsid w:val="00882D88"/>
    <w:rsid w:val="008830B5"/>
    <w:rsid w:val="008831E4"/>
    <w:rsid w:val="00883202"/>
    <w:rsid w:val="008832AF"/>
    <w:rsid w:val="0088336C"/>
    <w:rsid w:val="0088340D"/>
    <w:rsid w:val="00883415"/>
    <w:rsid w:val="008835E6"/>
    <w:rsid w:val="00883658"/>
    <w:rsid w:val="008836C1"/>
    <w:rsid w:val="00883B06"/>
    <w:rsid w:val="00883E22"/>
    <w:rsid w:val="008840E5"/>
    <w:rsid w:val="00884387"/>
    <w:rsid w:val="008843BA"/>
    <w:rsid w:val="00884481"/>
    <w:rsid w:val="0088478C"/>
    <w:rsid w:val="00884973"/>
    <w:rsid w:val="00884E07"/>
    <w:rsid w:val="00884E63"/>
    <w:rsid w:val="00884F84"/>
    <w:rsid w:val="00884F85"/>
    <w:rsid w:val="00885402"/>
    <w:rsid w:val="00885505"/>
    <w:rsid w:val="0088555C"/>
    <w:rsid w:val="0088578C"/>
    <w:rsid w:val="00885B04"/>
    <w:rsid w:val="00885C38"/>
    <w:rsid w:val="00885C4D"/>
    <w:rsid w:val="00885CBC"/>
    <w:rsid w:val="00885FBE"/>
    <w:rsid w:val="0088603C"/>
    <w:rsid w:val="008861A7"/>
    <w:rsid w:val="008866BD"/>
    <w:rsid w:val="0088673F"/>
    <w:rsid w:val="00886885"/>
    <w:rsid w:val="008868E3"/>
    <w:rsid w:val="008868FD"/>
    <w:rsid w:val="00886966"/>
    <w:rsid w:val="00886F41"/>
    <w:rsid w:val="008870BF"/>
    <w:rsid w:val="00887113"/>
    <w:rsid w:val="00887200"/>
    <w:rsid w:val="00887228"/>
    <w:rsid w:val="008873A8"/>
    <w:rsid w:val="00887530"/>
    <w:rsid w:val="00887B9C"/>
    <w:rsid w:val="00887DCD"/>
    <w:rsid w:val="008901ED"/>
    <w:rsid w:val="008902E6"/>
    <w:rsid w:val="00890373"/>
    <w:rsid w:val="0089047F"/>
    <w:rsid w:val="008906C9"/>
    <w:rsid w:val="00890B11"/>
    <w:rsid w:val="00890B9A"/>
    <w:rsid w:val="00890BC9"/>
    <w:rsid w:val="00890C45"/>
    <w:rsid w:val="00890D2F"/>
    <w:rsid w:val="00890E17"/>
    <w:rsid w:val="00890F93"/>
    <w:rsid w:val="00890FE0"/>
    <w:rsid w:val="00891053"/>
    <w:rsid w:val="008912E6"/>
    <w:rsid w:val="008914AF"/>
    <w:rsid w:val="008915A0"/>
    <w:rsid w:val="00891719"/>
    <w:rsid w:val="008917B5"/>
    <w:rsid w:val="008919B8"/>
    <w:rsid w:val="00891BCE"/>
    <w:rsid w:val="00891F9A"/>
    <w:rsid w:val="0089201B"/>
    <w:rsid w:val="008925AB"/>
    <w:rsid w:val="00893184"/>
    <w:rsid w:val="00893315"/>
    <w:rsid w:val="008933ED"/>
    <w:rsid w:val="00893490"/>
    <w:rsid w:val="008934A9"/>
    <w:rsid w:val="008934CD"/>
    <w:rsid w:val="00893B1F"/>
    <w:rsid w:val="00893C3A"/>
    <w:rsid w:val="00893CDB"/>
    <w:rsid w:val="00893D37"/>
    <w:rsid w:val="00894054"/>
    <w:rsid w:val="008941FC"/>
    <w:rsid w:val="00894697"/>
    <w:rsid w:val="00894B54"/>
    <w:rsid w:val="00894BB9"/>
    <w:rsid w:val="00894BFC"/>
    <w:rsid w:val="00894CED"/>
    <w:rsid w:val="0089500A"/>
    <w:rsid w:val="00895034"/>
    <w:rsid w:val="008953E5"/>
    <w:rsid w:val="008953F2"/>
    <w:rsid w:val="00895CEB"/>
    <w:rsid w:val="00895EBC"/>
    <w:rsid w:val="00895F21"/>
    <w:rsid w:val="00896328"/>
    <w:rsid w:val="00896551"/>
    <w:rsid w:val="008966F5"/>
    <w:rsid w:val="00896959"/>
    <w:rsid w:val="00896A73"/>
    <w:rsid w:val="00896B2C"/>
    <w:rsid w:val="00896B58"/>
    <w:rsid w:val="00896B81"/>
    <w:rsid w:val="00896B93"/>
    <w:rsid w:val="00896E75"/>
    <w:rsid w:val="00896EC5"/>
    <w:rsid w:val="00896ECF"/>
    <w:rsid w:val="00897083"/>
    <w:rsid w:val="008971C0"/>
    <w:rsid w:val="008971FE"/>
    <w:rsid w:val="0089720C"/>
    <w:rsid w:val="0089725B"/>
    <w:rsid w:val="00897319"/>
    <w:rsid w:val="00897418"/>
    <w:rsid w:val="00897577"/>
    <w:rsid w:val="008976F6"/>
    <w:rsid w:val="00897760"/>
    <w:rsid w:val="00897769"/>
    <w:rsid w:val="0089788B"/>
    <w:rsid w:val="008978D4"/>
    <w:rsid w:val="00897C2C"/>
    <w:rsid w:val="00897E44"/>
    <w:rsid w:val="00897EC6"/>
    <w:rsid w:val="008A0006"/>
    <w:rsid w:val="008A0085"/>
    <w:rsid w:val="008A0210"/>
    <w:rsid w:val="008A0287"/>
    <w:rsid w:val="008A04EC"/>
    <w:rsid w:val="008A05FF"/>
    <w:rsid w:val="008A085C"/>
    <w:rsid w:val="008A0970"/>
    <w:rsid w:val="008A0987"/>
    <w:rsid w:val="008A0997"/>
    <w:rsid w:val="008A0CDD"/>
    <w:rsid w:val="008A0DAC"/>
    <w:rsid w:val="008A1143"/>
    <w:rsid w:val="008A1237"/>
    <w:rsid w:val="008A12C3"/>
    <w:rsid w:val="008A143F"/>
    <w:rsid w:val="008A1575"/>
    <w:rsid w:val="008A18DA"/>
    <w:rsid w:val="008A1B43"/>
    <w:rsid w:val="008A1B8C"/>
    <w:rsid w:val="008A1CE7"/>
    <w:rsid w:val="008A1D18"/>
    <w:rsid w:val="008A2047"/>
    <w:rsid w:val="008A2311"/>
    <w:rsid w:val="008A23C3"/>
    <w:rsid w:val="008A2513"/>
    <w:rsid w:val="008A2709"/>
    <w:rsid w:val="008A2B87"/>
    <w:rsid w:val="008A2C31"/>
    <w:rsid w:val="008A2C48"/>
    <w:rsid w:val="008A2D01"/>
    <w:rsid w:val="008A2EDB"/>
    <w:rsid w:val="008A2EFA"/>
    <w:rsid w:val="008A3011"/>
    <w:rsid w:val="008A31EA"/>
    <w:rsid w:val="008A3395"/>
    <w:rsid w:val="008A347D"/>
    <w:rsid w:val="008A3516"/>
    <w:rsid w:val="008A3661"/>
    <w:rsid w:val="008A3854"/>
    <w:rsid w:val="008A389D"/>
    <w:rsid w:val="008A397E"/>
    <w:rsid w:val="008A3E26"/>
    <w:rsid w:val="008A3F7A"/>
    <w:rsid w:val="008A3FC1"/>
    <w:rsid w:val="008A406D"/>
    <w:rsid w:val="008A40D6"/>
    <w:rsid w:val="008A415C"/>
    <w:rsid w:val="008A4280"/>
    <w:rsid w:val="008A42B8"/>
    <w:rsid w:val="008A4369"/>
    <w:rsid w:val="008A4942"/>
    <w:rsid w:val="008A4A20"/>
    <w:rsid w:val="008A4A80"/>
    <w:rsid w:val="008A4AB3"/>
    <w:rsid w:val="008A4C29"/>
    <w:rsid w:val="008A4E8F"/>
    <w:rsid w:val="008A4FA7"/>
    <w:rsid w:val="008A506B"/>
    <w:rsid w:val="008A519C"/>
    <w:rsid w:val="008A525E"/>
    <w:rsid w:val="008A52FF"/>
    <w:rsid w:val="008A5407"/>
    <w:rsid w:val="008A5666"/>
    <w:rsid w:val="008A598B"/>
    <w:rsid w:val="008A5AA0"/>
    <w:rsid w:val="008A5F96"/>
    <w:rsid w:val="008A617D"/>
    <w:rsid w:val="008A639C"/>
    <w:rsid w:val="008A6490"/>
    <w:rsid w:val="008A6546"/>
    <w:rsid w:val="008A69B6"/>
    <w:rsid w:val="008A6A7E"/>
    <w:rsid w:val="008A6B7F"/>
    <w:rsid w:val="008A6FAF"/>
    <w:rsid w:val="008A7081"/>
    <w:rsid w:val="008A7093"/>
    <w:rsid w:val="008A70C4"/>
    <w:rsid w:val="008A71C8"/>
    <w:rsid w:val="008A77AC"/>
    <w:rsid w:val="008A7CB3"/>
    <w:rsid w:val="008A7CEA"/>
    <w:rsid w:val="008A7D6A"/>
    <w:rsid w:val="008A7DA4"/>
    <w:rsid w:val="008A7EBF"/>
    <w:rsid w:val="008B0383"/>
    <w:rsid w:val="008B03D2"/>
    <w:rsid w:val="008B045E"/>
    <w:rsid w:val="008B0525"/>
    <w:rsid w:val="008B0588"/>
    <w:rsid w:val="008B0903"/>
    <w:rsid w:val="008B0AEF"/>
    <w:rsid w:val="008B0BDD"/>
    <w:rsid w:val="008B0BE2"/>
    <w:rsid w:val="008B0C68"/>
    <w:rsid w:val="008B10D0"/>
    <w:rsid w:val="008B116D"/>
    <w:rsid w:val="008B1185"/>
    <w:rsid w:val="008B126A"/>
    <w:rsid w:val="008B1944"/>
    <w:rsid w:val="008B1A24"/>
    <w:rsid w:val="008B1C23"/>
    <w:rsid w:val="008B1F24"/>
    <w:rsid w:val="008B2253"/>
    <w:rsid w:val="008B25FC"/>
    <w:rsid w:val="008B268F"/>
    <w:rsid w:val="008B2AFF"/>
    <w:rsid w:val="008B2F62"/>
    <w:rsid w:val="008B3216"/>
    <w:rsid w:val="008B3711"/>
    <w:rsid w:val="008B3716"/>
    <w:rsid w:val="008B3FDE"/>
    <w:rsid w:val="008B4016"/>
    <w:rsid w:val="008B4144"/>
    <w:rsid w:val="008B43F3"/>
    <w:rsid w:val="008B4508"/>
    <w:rsid w:val="008B469D"/>
    <w:rsid w:val="008B472D"/>
    <w:rsid w:val="008B4745"/>
    <w:rsid w:val="008B4949"/>
    <w:rsid w:val="008B49A9"/>
    <w:rsid w:val="008B5127"/>
    <w:rsid w:val="008B5379"/>
    <w:rsid w:val="008B5656"/>
    <w:rsid w:val="008B56F3"/>
    <w:rsid w:val="008B5724"/>
    <w:rsid w:val="008B5937"/>
    <w:rsid w:val="008B5A2B"/>
    <w:rsid w:val="008B5A49"/>
    <w:rsid w:val="008B5BE6"/>
    <w:rsid w:val="008B5C0B"/>
    <w:rsid w:val="008B5DFD"/>
    <w:rsid w:val="008B5E68"/>
    <w:rsid w:val="008B6056"/>
    <w:rsid w:val="008B6066"/>
    <w:rsid w:val="008B6068"/>
    <w:rsid w:val="008B62D3"/>
    <w:rsid w:val="008B62DB"/>
    <w:rsid w:val="008B63C3"/>
    <w:rsid w:val="008B65B8"/>
    <w:rsid w:val="008B6745"/>
    <w:rsid w:val="008B6771"/>
    <w:rsid w:val="008B67C9"/>
    <w:rsid w:val="008B67E3"/>
    <w:rsid w:val="008B683C"/>
    <w:rsid w:val="008B68A7"/>
    <w:rsid w:val="008B68CA"/>
    <w:rsid w:val="008B69A4"/>
    <w:rsid w:val="008B69E4"/>
    <w:rsid w:val="008B6B22"/>
    <w:rsid w:val="008B6DAD"/>
    <w:rsid w:val="008B6EA8"/>
    <w:rsid w:val="008B6F74"/>
    <w:rsid w:val="008B6FCC"/>
    <w:rsid w:val="008B71FB"/>
    <w:rsid w:val="008B72BA"/>
    <w:rsid w:val="008B7397"/>
    <w:rsid w:val="008B73AA"/>
    <w:rsid w:val="008B7434"/>
    <w:rsid w:val="008B79F5"/>
    <w:rsid w:val="008B7C3D"/>
    <w:rsid w:val="008B7DAB"/>
    <w:rsid w:val="008B7E0A"/>
    <w:rsid w:val="008B7E4B"/>
    <w:rsid w:val="008B7F95"/>
    <w:rsid w:val="008B7FE6"/>
    <w:rsid w:val="008BAD97"/>
    <w:rsid w:val="008C0298"/>
    <w:rsid w:val="008C04DE"/>
    <w:rsid w:val="008C0677"/>
    <w:rsid w:val="008C067F"/>
    <w:rsid w:val="008C08C4"/>
    <w:rsid w:val="008C0A07"/>
    <w:rsid w:val="008C0AB6"/>
    <w:rsid w:val="008C0B0F"/>
    <w:rsid w:val="008C0B10"/>
    <w:rsid w:val="008C0B3A"/>
    <w:rsid w:val="008C0BC8"/>
    <w:rsid w:val="008C0D14"/>
    <w:rsid w:val="008C0D70"/>
    <w:rsid w:val="008C0DE9"/>
    <w:rsid w:val="008C0E10"/>
    <w:rsid w:val="008C0ED3"/>
    <w:rsid w:val="008C1054"/>
    <w:rsid w:val="008C10A2"/>
    <w:rsid w:val="008C1159"/>
    <w:rsid w:val="008C145C"/>
    <w:rsid w:val="008C1821"/>
    <w:rsid w:val="008C1869"/>
    <w:rsid w:val="008C188C"/>
    <w:rsid w:val="008C1901"/>
    <w:rsid w:val="008C197E"/>
    <w:rsid w:val="008C19EC"/>
    <w:rsid w:val="008C1A16"/>
    <w:rsid w:val="008C1B08"/>
    <w:rsid w:val="008C1D4F"/>
    <w:rsid w:val="008C1DB9"/>
    <w:rsid w:val="008C1F7E"/>
    <w:rsid w:val="008C221F"/>
    <w:rsid w:val="008C2335"/>
    <w:rsid w:val="008C2926"/>
    <w:rsid w:val="008C29A6"/>
    <w:rsid w:val="008C2AC3"/>
    <w:rsid w:val="008C2C67"/>
    <w:rsid w:val="008C309C"/>
    <w:rsid w:val="008C3383"/>
    <w:rsid w:val="008C3446"/>
    <w:rsid w:val="008C34B3"/>
    <w:rsid w:val="008C3701"/>
    <w:rsid w:val="008C3971"/>
    <w:rsid w:val="008C3C89"/>
    <w:rsid w:val="008C3DF9"/>
    <w:rsid w:val="008C3E7D"/>
    <w:rsid w:val="008C41B7"/>
    <w:rsid w:val="008C448C"/>
    <w:rsid w:val="008C4520"/>
    <w:rsid w:val="008C4844"/>
    <w:rsid w:val="008C49C8"/>
    <w:rsid w:val="008C4CA3"/>
    <w:rsid w:val="008C4D1D"/>
    <w:rsid w:val="008C4FD1"/>
    <w:rsid w:val="008C5118"/>
    <w:rsid w:val="008C512B"/>
    <w:rsid w:val="008C5490"/>
    <w:rsid w:val="008C561F"/>
    <w:rsid w:val="008C572F"/>
    <w:rsid w:val="008C58C3"/>
    <w:rsid w:val="008C6130"/>
    <w:rsid w:val="008C6179"/>
    <w:rsid w:val="008C6327"/>
    <w:rsid w:val="008C64D1"/>
    <w:rsid w:val="008C6676"/>
    <w:rsid w:val="008C6799"/>
    <w:rsid w:val="008C6BC0"/>
    <w:rsid w:val="008C6DF8"/>
    <w:rsid w:val="008C6E6D"/>
    <w:rsid w:val="008C6F23"/>
    <w:rsid w:val="008C7199"/>
    <w:rsid w:val="008C7720"/>
    <w:rsid w:val="008C775C"/>
    <w:rsid w:val="008C777A"/>
    <w:rsid w:val="008C79CB"/>
    <w:rsid w:val="008C7A02"/>
    <w:rsid w:val="008C7B13"/>
    <w:rsid w:val="008C7E32"/>
    <w:rsid w:val="008C7FAF"/>
    <w:rsid w:val="008D0002"/>
    <w:rsid w:val="008D01E8"/>
    <w:rsid w:val="008D0354"/>
    <w:rsid w:val="008D07DE"/>
    <w:rsid w:val="008D0825"/>
    <w:rsid w:val="008D0A85"/>
    <w:rsid w:val="008D0B30"/>
    <w:rsid w:val="008D0D62"/>
    <w:rsid w:val="008D0DD3"/>
    <w:rsid w:val="008D0EDD"/>
    <w:rsid w:val="008D0F17"/>
    <w:rsid w:val="008D0F99"/>
    <w:rsid w:val="008D0FDD"/>
    <w:rsid w:val="008D0FFC"/>
    <w:rsid w:val="008D1045"/>
    <w:rsid w:val="008D106E"/>
    <w:rsid w:val="008D11CE"/>
    <w:rsid w:val="008D13BF"/>
    <w:rsid w:val="008D14A5"/>
    <w:rsid w:val="008D1521"/>
    <w:rsid w:val="008D1581"/>
    <w:rsid w:val="008D1E3A"/>
    <w:rsid w:val="008D209B"/>
    <w:rsid w:val="008D2138"/>
    <w:rsid w:val="008D21AD"/>
    <w:rsid w:val="008D2AB0"/>
    <w:rsid w:val="008D2B37"/>
    <w:rsid w:val="008D2B67"/>
    <w:rsid w:val="008D2C8A"/>
    <w:rsid w:val="008D3064"/>
    <w:rsid w:val="008D31D1"/>
    <w:rsid w:val="008D3204"/>
    <w:rsid w:val="008D322F"/>
    <w:rsid w:val="008D349D"/>
    <w:rsid w:val="008D35BB"/>
    <w:rsid w:val="008D3649"/>
    <w:rsid w:val="008D36E6"/>
    <w:rsid w:val="008D3734"/>
    <w:rsid w:val="008D37B8"/>
    <w:rsid w:val="008D38E8"/>
    <w:rsid w:val="008D3924"/>
    <w:rsid w:val="008D398F"/>
    <w:rsid w:val="008D3A52"/>
    <w:rsid w:val="008D3A89"/>
    <w:rsid w:val="008D3AFA"/>
    <w:rsid w:val="008D3BBE"/>
    <w:rsid w:val="008D3DDF"/>
    <w:rsid w:val="008D3E57"/>
    <w:rsid w:val="008D3E78"/>
    <w:rsid w:val="008D4193"/>
    <w:rsid w:val="008D41A3"/>
    <w:rsid w:val="008D4324"/>
    <w:rsid w:val="008D43E1"/>
    <w:rsid w:val="008D4490"/>
    <w:rsid w:val="008D4554"/>
    <w:rsid w:val="008D45DF"/>
    <w:rsid w:val="008D4718"/>
    <w:rsid w:val="008D4720"/>
    <w:rsid w:val="008D48A9"/>
    <w:rsid w:val="008D4A32"/>
    <w:rsid w:val="008D4B37"/>
    <w:rsid w:val="008D4BAF"/>
    <w:rsid w:val="008D4C8A"/>
    <w:rsid w:val="008D4D15"/>
    <w:rsid w:val="008D4E7A"/>
    <w:rsid w:val="008D4E91"/>
    <w:rsid w:val="008D4E9E"/>
    <w:rsid w:val="008D50FF"/>
    <w:rsid w:val="008D52A5"/>
    <w:rsid w:val="008D5340"/>
    <w:rsid w:val="008D54A7"/>
    <w:rsid w:val="008D54A8"/>
    <w:rsid w:val="008D55F2"/>
    <w:rsid w:val="008D57F7"/>
    <w:rsid w:val="008D58AE"/>
    <w:rsid w:val="008D5BC5"/>
    <w:rsid w:val="008D5BD1"/>
    <w:rsid w:val="008D5C8E"/>
    <w:rsid w:val="008D5FDC"/>
    <w:rsid w:val="008D6002"/>
    <w:rsid w:val="008D61CF"/>
    <w:rsid w:val="008D6667"/>
    <w:rsid w:val="008D668B"/>
    <w:rsid w:val="008D68F1"/>
    <w:rsid w:val="008D6AB2"/>
    <w:rsid w:val="008D6D28"/>
    <w:rsid w:val="008D6F80"/>
    <w:rsid w:val="008D7114"/>
    <w:rsid w:val="008D712E"/>
    <w:rsid w:val="008D713A"/>
    <w:rsid w:val="008D7465"/>
    <w:rsid w:val="008D7832"/>
    <w:rsid w:val="008D7976"/>
    <w:rsid w:val="008D7978"/>
    <w:rsid w:val="008D7AA8"/>
    <w:rsid w:val="008D7B06"/>
    <w:rsid w:val="008D7C26"/>
    <w:rsid w:val="008D7C69"/>
    <w:rsid w:val="008D7D71"/>
    <w:rsid w:val="008E0275"/>
    <w:rsid w:val="008E043B"/>
    <w:rsid w:val="008E0775"/>
    <w:rsid w:val="008E0B1A"/>
    <w:rsid w:val="008E0B32"/>
    <w:rsid w:val="008E0DBB"/>
    <w:rsid w:val="008E0E12"/>
    <w:rsid w:val="008E0EB9"/>
    <w:rsid w:val="008E0EE8"/>
    <w:rsid w:val="008E158C"/>
    <w:rsid w:val="008E15DE"/>
    <w:rsid w:val="008E15FB"/>
    <w:rsid w:val="008E19D5"/>
    <w:rsid w:val="008E20B7"/>
    <w:rsid w:val="008E2142"/>
    <w:rsid w:val="008E21D0"/>
    <w:rsid w:val="008E2369"/>
    <w:rsid w:val="008E24DC"/>
    <w:rsid w:val="008E2623"/>
    <w:rsid w:val="008E270C"/>
    <w:rsid w:val="008E2713"/>
    <w:rsid w:val="008E2758"/>
    <w:rsid w:val="008E27E5"/>
    <w:rsid w:val="008E28C2"/>
    <w:rsid w:val="008E297F"/>
    <w:rsid w:val="008E2D03"/>
    <w:rsid w:val="008E2E1E"/>
    <w:rsid w:val="008E303E"/>
    <w:rsid w:val="008E31B7"/>
    <w:rsid w:val="008E3302"/>
    <w:rsid w:val="008E352E"/>
    <w:rsid w:val="008E3CDC"/>
    <w:rsid w:val="008E3D21"/>
    <w:rsid w:val="008E3D4E"/>
    <w:rsid w:val="008E3E51"/>
    <w:rsid w:val="008E3ED9"/>
    <w:rsid w:val="008E3F57"/>
    <w:rsid w:val="008E40B6"/>
    <w:rsid w:val="008E47AE"/>
    <w:rsid w:val="008E4A2E"/>
    <w:rsid w:val="008E4D4B"/>
    <w:rsid w:val="008E5170"/>
    <w:rsid w:val="008E52D9"/>
    <w:rsid w:val="008E53D3"/>
    <w:rsid w:val="008E559B"/>
    <w:rsid w:val="008E56A0"/>
    <w:rsid w:val="008E56AB"/>
    <w:rsid w:val="008E5848"/>
    <w:rsid w:val="008E59CD"/>
    <w:rsid w:val="008E5B8B"/>
    <w:rsid w:val="008E5BC1"/>
    <w:rsid w:val="008E5D31"/>
    <w:rsid w:val="008E5E3C"/>
    <w:rsid w:val="008E5EBE"/>
    <w:rsid w:val="008E5F34"/>
    <w:rsid w:val="008E5F83"/>
    <w:rsid w:val="008E606B"/>
    <w:rsid w:val="008E6167"/>
    <w:rsid w:val="008E6360"/>
    <w:rsid w:val="008E6394"/>
    <w:rsid w:val="008E64AD"/>
    <w:rsid w:val="008E6650"/>
    <w:rsid w:val="008E6AFD"/>
    <w:rsid w:val="008E6C5B"/>
    <w:rsid w:val="008E6CCA"/>
    <w:rsid w:val="008E6ED6"/>
    <w:rsid w:val="008E6F59"/>
    <w:rsid w:val="008E6FE1"/>
    <w:rsid w:val="008E70CF"/>
    <w:rsid w:val="008E70FE"/>
    <w:rsid w:val="008E714C"/>
    <w:rsid w:val="008E7372"/>
    <w:rsid w:val="008E741F"/>
    <w:rsid w:val="008E7480"/>
    <w:rsid w:val="008E74F9"/>
    <w:rsid w:val="008E75D9"/>
    <w:rsid w:val="008E76B0"/>
    <w:rsid w:val="008E7816"/>
    <w:rsid w:val="008E781A"/>
    <w:rsid w:val="008E7876"/>
    <w:rsid w:val="008E797B"/>
    <w:rsid w:val="008E7AF2"/>
    <w:rsid w:val="008E7E16"/>
    <w:rsid w:val="008E7E7D"/>
    <w:rsid w:val="008E7E7E"/>
    <w:rsid w:val="008E7F82"/>
    <w:rsid w:val="008F0096"/>
    <w:rsid w:val="008F01E9"/>
    <w:rsid w:val="008F0231"/>
    <w:rsid w:val="008F0595"/>
    <w:rsid w:val="008F05C3"/>
    <w:rsid w:val="008F0732"/>
    <w:rsid w:val="008F0929"/>
    <w:rsid w:val="008F0A9A"/>
    <w:rsid w:val="008F0AFC"/>
    <w:rsid w:val="008F0C92"/>
    <w:rsid w:val="008F0C98"/>
    <w:rsid w:val="008F0D41"/>
    <w:rsid w:val="008F10BC"/>
    <w:rsid w:val="008F1169"/>
    <w:rsid w:val="008F11E8"/>
    <w:rsid w:val="008F1525"/>
    <w:rsid w:val="008F15D2"/>
    <w:rsid w:val="008F15F9"/>
    <w:rsid w:val="008F1680"/>
    <w:rsid w:val="008F168C"/>
    <w:rsid w:val="008F174B"/>
    <w:rsid w:val="008F1891"/>
    <w:rsid w:val="008F19AD"/>
    <w:rsid w:val="008F1C24"/>
    <w:rsid w:val="008F1E40"/>
    <w:rsid w:val="008F1E7D"/>
    <w:rsid w:val="008F2536"/>
    <w:rsid w:val="008F25E9"/>
    <w:rsid w:val="008F265B"/>
    <w:rsid w:val="008F2947"/>
    <w:rsid w:val="008F2B98"/>
    <w:rsid w:val="008F2CA2"/>
    <w:rsid w:val="008F2E51"/>
    <w:rsid w:val="008F2F5A"/>
    <w:rsid w:val="008F2FDD"/>
    <w:rsid w:val="008F3140"/>
    <w:rsid w:val="008F3219"/>
    <w:rsid w:val="008F3447"/>
    <w:rsid w:val="008F3474"/>
    <w:rsid w:val="008F3671"/>
    <w:rsid w:val="008F38E5"/>
    <w:rsid w:val="008F3949"/>
    <w:rsid w:val="008F3AB6"/>
    <w:rsid w:val="008F3B22"/>
    <w:rsid w:val="008F3D00"/>
    <w:rsid w:val="008F4063"/>
    <w:rsid w:val="008F4277"/>
    <w:rsid w:val="008F42A5"/>
    <w:rsid w:val="008F4335"/>
    <w:rsid w:val="008F43E2"/>
    <w:rsid w:val="008F4593"/>
    <w:rsid w:val="008F46E9"/>
    <w:rsid w:val="008F4809"/>
    <w:rsid w:val="008F4AB4"/>
    <w:rsid w:val="008F4C2E"/>
    <w:rsid w:val="008F5469"/>
    <w:rsid w:val="008F54B8"/>
    <w:rsid w:val="008F54E4"/>
    <w:rsid w:val="008F5544"/>
    <w:rsid w:val="008F5680"/>
    <w:rsid w:val="008F5830"/>
    <w:rsid w:val="008F592A"/>
    <w:rsid w:val="008F59A8"/>
    <w:rsid w:val="008F5B24"/>
    <w:rsid w:val="008F6006"/>
    <w:rsid w:val="008F611F"/>
    <w:rsid w:val="008F62F8"/>
    <w:rsid w:val="008F6ABE"/>
    <w:rsid w:val="008F6B93"/>
    <w:rsid w:val="008F6BCB"/>
    <w:rsid w:val="008F6F08"/>
    <w:rsid w:val="008F7276"/>
    <w:rsid w:val="008F7422"/>
    <w:rsid w:val="008F75BF"/>
    <w:rsid w:val="008F772B"/>
    <w:rsid w:val="008F7733"/>
    <w:rsid w:val="008F7740"/>
    <w:rsid w:val="008F7933"/>
    <w:rsid w:val="008F7972"/>
    <w:rsid w:val="008F7B5C"/>
    <w:rsid w:val="008F7C11"/>
    <w:rsid w:val="008F7D28"/>
    <w:rsid w:val="008F7D37"/>
    <w:rsid w:val="008F7D82"/>
    <w:rsid w:val="008F7D9D"/>
    <w:rsid w:val="008F7F23"/>
    <w:rsid w:val="009000A2"/>
    <w:rsid w:val="009003F0"/>
    <w:rsid w:val="0090049A"/>
    <w:rsid w:val="0090063E"/>
    <w:rsid w:val="009006F8"/>
    <w:rsid w:val="00900734"/>
    <w:rsid w:val="00900B4E"/>
    <w:rsid w:val="00900C4C"/>
    <w:rsid w:val="00900CE6"/>
    <w:rsid w:val="00900CFA"/>
    <w:rsid w:val="00900DD1"/>
    <w:rsid w:val="00900E03"/>
    <w:rsid w:val="00900F47"/>
    <w:rsid w:val="0090118C"/>
    <w:rsid w:val="009015C4"/>
    <w:rsid w:val="00901789"/>
    <w:rsid w:val="00901882"/>
    <w:rsid w:val="00901889"/>
    <w:rsid w:val="00901B7A"/>
    <w:rsid w:val="00901BD8"/>
    <w:rsid w:val="00901D4D"/>
    <w:rsid w:val="00901F78"/>
    <w:rsid w:val="0090246D"/>
    <w:rsid w:val="0090258B"/>
    <w:rsid w:val="009026BC"/>
    <w:rsid w:val="009026C8"/>
    <w:rsid w:val="0090286E"/>
    <w:rsid w:val="00902959"/>
    <w:rsid w:val="00902A05"/>
    <w:rsid w:val="00902BA2"/>
    <w:rsid w:val="00902DF3"/>
    <w:rsid w:val="00902DF9"/>
    <w:rsid w:val="00902F39"/>
    <w:rsid w:val="00902F7F"/>
    <w:rsid w:val="00902FDA"/>
    <w:rsid w:val="009030C8"/>
    <w:rsid w:val="009034D3"/>
    <w:rsid w:val="0090361D"/>
    <w:rsid w:val="0090376F"/>
    <w:rsid w:val="009037F3"/>
    <w:rsid w:val="00903801"/>
    <w:rsid w:val="00903917"/>
    <w:rsid w:val="00903AE8"/>
    <w:rsid w:val="00903BE4"/>
    <w:rsid w:val="00903C26"/>
    <w:rsid w:val="00903C91"/>
    <w:rsid w:val="00903FFC"/>
    <w:rsid w:val="0090422C"/>
    <w:rsid w:val="00904447"/>
    <w:rsid w:val="00904509"/>
    <w:rsid w:val="00904547"/>
    <w:rsid w:val="00904AAA"/>
    <w:rsid w:val="00904C72"/>
    <w:rsid w:val="00904DAE"/>
    <w:rsid w:val="00904DD9"/>
    <w:rsid w:val="00904E23"/>
    <w:rsid w:val="00904FA4"/>
    <w:rsid w:val="0090510B"/>
    <w:rsid w:val="00905328"/>
    <w:rsid w:val="0090558D"/>
    <w:rsid w:val="00905710"/>
    <w:rsid w:val="009057DF"/>
    <w:rsid w:val="00905823"/>
    <w:rsid w:val="00905882"/>
    <w:rsid w:val="00905C97"/>
    <w:rsid w:val="00905CCB"/>
    <w:rsid w:val="00905FFF"/>
    <w:rsid w:val="00906071"/>
    <w:rsid w:val="009060CC"/>
    <w:rsid w:val="009060E9"/>
    <w:rsid w:val="009060FD"/>
    <w:rsid w:val="00906243"/>
    <w:rsid w:val="00906374"/>
    <w:rsid w:val="009068E6"/>
    <w:rsid w:val="009068F7"/>
    <w:rsid w:val="00906943"/>
    <w:rsid w:val="00906A72"/>
    <w:rsid w:val="00906A77"/>
    <w:rsid w:val="00906B13"/>
    <w:rsid w:val="00906B4E"/>
    <w:rsid w:val="00906BF6"/>
    <w:rsid w:val="00906D55"/>
    <w:rsid w:val="00906E07"/>
    <w:rsid w:val="00906E40"/>
    <w:rsid w:val="00906FAE"/>
    <w:rsid w:val="009070CD"/>
    <w:rsid w:val="00907814"/>
    <w:rsid w:val="00907871"/>
    <w:rsid w:val="0090790C"/>
    <w:rsid w:val="00907AE4"/>
    <w:rsid w:val="00907BD9"/>
    <w:rsid w:val="00907D96"/>
    <w:rsid w:val="00907DE3"/>
    <w:rsid w:val="00907F5D"/>
    <w:rsid w:val="009101F8"/>
    <w:rsid w:val="009103CD"/>
    <w:rsid w:val="0091055D"/>
    <w:rsid w:val="00910765"/>
    <w:rsid w:val="00910D14"/>
    <w:rsid w:val="00910E6D"/>
    <w:rsid w:val="00910F07"/>
    <w:rsid w:val="00910FA6"/>
    <w:rsid w:val="0091100F"/>
    <w:rsid w:val="009110E8"/>
    <w:rsid w:val="009110EE"/>
    <w:rsid w:val="00911164"/>
    <w:rsid w:val="009112AB"/>
    <w:rsid w:val="00911304"/>
    <w:rsid w:val="00911432"/>
    <w:rsid w:val="009115CF"/>
    <w:rsid w:val="0091178B"/>
    <w:rsid w:val="009117A9"/>
    <w:rsid w:val="00911815"/>
    <w:rsid w:val="00911843"/>
    <w:rsid w:val="00911A55"/>
    <w:rsid w:val="00911D25"/>
    <w:rsid w:val="00911D49"/>
    <w:rsid w:val="00911DD5"/>
    <w:rsid w:val="00912049"/>
    <w:rsid w:val="009120BC"/>
    <w:rsid w:val="0091211B"/>
    <w:rsid w:val="0091265B"/>
    <w:rsid w:val="00912869"/>
    <w:rsid w:val="0091297F"/>
    <w:rsid w:val="00912AE8"/>
    <w:rsid w:val="00912BD5"/>
    <w:rsid w:val="00912D53"/>
    <w:rsid w:val="00912E5A"/>
    <w:rsid w:val="00912EFC"/>
    <w:rsid w:val="009131D2"/>
    <w:rsid w:val="00913419"/>
    <w:rsid w:val="0091342A"/>
    <w:rsid w:val="0091347F"/>
    <w:rsid w:val="009138E2"/>
    <w:rsid w:val="009138F0"/>
    <w:rsid w:val="00913A0F"/>
    <w:rsid w:val="00913F6F"/>
    <w:rsid w:val="009144E4"/>
    <w:rsid w:val="009145CE"/>
    <w:rsid w:val="00914639"/>
    <w:rsid w:val="009148E6"/>
    <w:rsid w:val="00914D80"/>
    <w:rsid w:val="00914DC7"/>
    <w:rsid w:val="00914EE8"/>
    <w:rsid w:val="00914EFD"/>
    <w:rsid w:val="00915165"/>
    <w:rsid w:val="00915318"/>
    <w:rsid w:val="0091531B"/>
    <w:rsid w:val="00915359"/>
    <w:rsid w:val="00915437"/>
    <w:rsid w:val="009157D3"/>
    <w:rsid w:val="00915A31"/>
    <w:rsid w:val="00915D03"/>
    <w:rsid w:val="00915D13"/>
    <w:rsid w:val="00915E47"/>
    <w:rsid w:val="00915E4B"/>
    <w:rsid w:val="00915F22"/>
    <w:rsid w:val="00915FE0"/>
    <w:rsid w:val="00916200"/>
    <w:rsid w:val="009163AD"/>
    <w:rsid w:val="00916487"/>
    <w:rsid w:val="00916784"/>
    <w:rsid w:val="00916AB3"/>
    <w:rsid w:val="00916BA5"/>
    <w:rsid w:val="00916CD5"/>
    <w:rsid w:val="00916D0A"/>
    <w:rsid w:val="00916FD4"/>
    <w:rsid w:val="00917264"/>
    <w:rsid w:val="00917A94"/>
    <w:rsid w:val="00917CD4"/>
    <w:rsid w:val="00917DFC"/>
    <w:rsid w:val="0092007A"/>
    <w:rsid w:val="009202FA"/>
    <w:rsid w:val="009206FD"/>
    <w:rsid w:val="0092073D"/>
    <w:rsid w:val="009208AE"/>
    <w:rsid w:val="0092092C"/>
    <w:rsid w:val="00920968"/>
    <w:rsid w:val="00920A13"/>
    <w:rsid w:val="00920C53"/>
    <w:rsid w:val="00921128"/>
    <w:rsid w:val="00921197"/>
    <w:rsid w:val="0092133A"/>
    <w:rsid w:val="009216E1"/>
    <w:rsid w:val="009216FE"/>
    <w:rsid w:val="009217FF"/>
    <w:rsid w:val="009218B6"/>
    <w:rsid w:val="00921A12"/>
    <w:rsid w:val="00921EB4"/>
    <w:rsid w:val="00921FA9"/>
    <w:rsid w:val="00922067"/>
    <w:rsid w:val="0092209A"/>
    <w:rsid w:val="009225C4"/>
    <w:rsid w:val="00922677"/>
    <w:rsid w:val="00922A38"/>
    <w:rsid w:val="00922B18"/>
    <w:rsid w:val="00922C0A"/>
    <w:rsid w:val="00922F30"/>
    <w:rsid w:val="0092301A"/>
    <w:rsid w:val="00923063"/>
    <w:rsid w:val="009232D5"/>
    <w:rsid w:val="0092372F"/>
    <w:rsid w:val="00923813"/>
    <w:rsid w:val="00923851"/>
    <w:rsid w:val="00923A01"/>
    <w:rsid w:val="00923C5E"/>
    <w:rsid w:val="00923D2F"/>
    <w:rsid w:val="00923D83"/>
    <w:rsid w:val="00923EA4"/>
    <w:rsid w:val="0092402D"/>
    <w:rsid w:val="009240EB"/>
    <w:rsid w:val="009241DB"/>
    <w:rsid w:val="0092430E"/>
    <w:rsid w:val="00924324"/>
    <w:rsid w:val="009245BB"/>
    <w:rsid w:val="0092476D"/>
    <w:rsid w:val="0092479A"/>
    <w:rsid w:val="0092498E"/>
    <w:rsid w:val="00924C7D"/>
    <w:rsid w:val="00924E63"/>
    <w:rsid w:val="00924E9E"/>
    <w:rsid w:val="00924F25"/>
    <w:rsid w:val="00924FF0"/>
    <w:rsid w:val="00925266"/>
    <w:rsid w:val="0092534A"/>
    <w:rsid w:val="00925360"/>
    <w:rsid w:val="00925442"/>
    <w:rsid w:val="0092567B"/>
    <w:rsid w:val="009259D3"/>
    <w:rsid w:val="00925B7E"/>
    <w:rsid w:val="00925C3E"/>
    <w:rsid w:val="00925D33"/>
    <w:rsid w:val="00925DBB"/>
    <w:rsid w:val="0092617B"/>
    <w:rsid w:val="0092630D"/>
    <w:rsid w:val="009263DA"/>
    <w:rsid w:val="00926470"/>
    <w:rsid w:val="00926499"/>
    <w:rsid w:val="00926522"/>
    <w:rsid w:val="00926696"/>
    <w:rsid w:val="0092689B"/>
    <w:rsid w:val="00926B51"/>
    <w:rsid w:val="0092713C"/>
    <w:rsid w:val="0092735C"/>
    <w:rsid w:val="0092741F"/>
    <w:rsid w:val="00927469"/>
    <w:rsid w:val="0092753B"/>
    <w:rsid w:val="00927685"/>
    <w:rsid w:val="00927953"/>
    <w:rsid w:val="00927AD1"/>
    <w:rsid w:val="00927BAC"/>
    <w:rsid w:val="00927C04"/>
    <w:rsid w:val="009303AE"/>
    <w:rsid w:val="0093046A"/>
    <w:rsid w:val="009304E2"/>
    <w:rsid w:val="00930788"/>
    <w:rsid w:val="009307C6"/>
    <w:rsid w:val="009308CC"/>
    <w:rsid w:val="0093095C"/>
    <w:rsid w:val="00930A33"/>
    <w:rsid w:val="00930A93"/>
    <w:rsid w:val="00930AF0"/>
    <w:rsid w:val="00930C56"/>
    <w:rsid w:val="00930EB4"/>
    <w:rsid w:val="00930F83"/>
    <w:rsid w:val="00930F9F"/>
    <w:rsid w:val="0093111E"/>
    <w:rsid w:val="009311C6"/>
    <w:rsid w:val="00931263"/>
    <w:rsid w:val="0093135F"/>
    <w:rsid w:val="009314D9"/>
    <w:rsid w:val="0093157A"/>
    <w:rsid w:val="00931703"/>
    <w:rsid w:val="009317CB"/>
    <w:rsid w:val="0093180F"/>
    <w:rsid w:val="00931AC5"/>
    <w:rsid w:val="00931BC6"/>
    <w:rsid w:val="00931E75"/>
    <w:rsid w:val="009322B7"/>
    <w:rsid w:val="009322DE"/>
    <w:rsid w:val="0093235C"/>
    <w:rsid w:val="009326D7"/>
    <w:rsid w:val="009326D9"/>
    <w:rsid w:val="00932743"/>
    <w:rsid w:val="009329EF"/>
    <w:rsid w:val="00932D2B"/>
    <w:rsid w:val="00932D3E"/>
    <w:rsid w:val="00932D44"/>
    <w:rsid w:val="00932D91"/>
    <w:rsid w:val="00932E00"/>
    <w:rsid w:val="00932E9C"/>
    <w:rsid w:val="00932F43"/>
    <w:rsid w:val="00932FB5"/>
    <w:rsid w:val="00932FE5"/>
    <w:rsid w:val="00932FF4"/>
    <w:rsid w:val="0093308B"/>
    <w:rsid w:val="0093332D"/>
    <w:rsid w:val="0093349F"/>
    <w:rsid w:val="009335DC"/>
    <w:rsid w:val="0093389F"/>
    <w:rsid w:val="009339EE"/>
    <w:rsid w:val="00933A7A"/>
    <w:rsid w:val="00933DDD"/>
    <w:rsid w:val="00934165"/>
    <w:rsid w:val="0093420C"/>
    <w:rsid w:val="0093465A"/>
    <w:rsid w:val="0093491C"/>
    <w:rsid w:val="00934951"/>
    <w:rsid w:val="009349B5"/>
    <w:rsid w:val="00934A86"/>
    <w:rsid w:val="00934B7D"/>
    <w:rsid w:val="00934CD6"/>
    <w:rsid w:val="00934D74"/>
    <w:rsid w:val="00934E34"/>
    <w:rsid w:val="0093509E"/>
    <w:rsid w:val="00935175"/>
    <w:rsid w:val="00935209"/>
    <w:rsid w:val="009352AC"/>
    <w:rsid w:val="00935304"/>
    <w:rsid w:val="009354C6"/>
    <w:rsid w:val="00935504"/>
    <w:rsid w:val="009356BD"/>
    <w:rsid w:val="009356EA"/>
    <w:rsid w:val="00935762"/>
    <w:rsid w:val="009357CE"/>
    <w:rsid w:val="009359B1"/>
    <w:rsid w:val="00935D43"/>
    <w:rsid w:val="00935DA1"/>
    <w:rsid w:val="00935F84"/>
    <w:rsid w:val="00935FC5"/>
    <w:rsid w:val="009361AE"/>
    <w:rsid w:val="00936262"/>
    <w:rsid w:val="0093633A"/>
    <w:rsid w:val="00936CEB"/>
    <w:rsid w:val="00936D35"/>
    <w:rsid w:val="00936E09"/>
    <w:rsid w:val="00936E96"/>
    <w:rsid w:val="00936F6B"/>
    <w:rsid w:val="0093702F"/>
    <w:rsid w:val="009370E8"/>
    <w:rsid w:val="00937247"/>
    <w:rsid w:val="0093748C"/>
    <w:rsid w:val="00937679"/>
    <w:rsid w:val="009379DF"/>
    <w:rsid w:val="00937BAF"/>
    <w:rsid w:val="00937D54"/>
    <w:rsid w:val="00937D74"/>
    <w:rsid w:val="009400BA"/>
    <w:rsid w:val="0094024E"/>
    <w:rsid w:val="0094029D"/>
    <w:rsid w:val="00940346"/>
    <w:rsid w:val="0094037D"/>
    <w:rsid w:val="009406E4"/>
    <w:rsid w:val="00940727"/>
    <w:rsid w:val="0094078B"/>
    <w:rsid w:val="00940DED"/>
    <w:rsid w:val="00940E5A"/>
    <w:rsid w:val="00940F9A"/>
    <w:rsid w:val="00940FE9"/>
    <w:rsid w:val="00941002"/>
    <w:rsid w:val="0094128A"/>
    <w:rsid w:val="00941708"/>
    <w:rsid w:val="00941CAE"/>
    <w:rsid w:val="00941ECC"/>
    <w:rsid w:val="00941F47"/>
    <w:rsid w:val="00941F8B"/>
    <w:rsid w:val="00942008"/>
    <w:rsid w:val="0094228F"/>
    <w:rsid w:val="00942382"/>
    <w:rsid w:val="009423B8"/>
    <w:rsid w:val="0094292C"/>
    <w:rsid w:val="00942944"/>
    <w:rsid w:val="00942BE5"/>
    <w:rsid w:val="00942C20"/>
    <w:rsid w:val="00942EDB"/>
    <w:rsid w:val="00942F32"/>
    <w:rsid w:val="00942FD8"/>
    <w:rsid w:val="00943077"/>
    <w:rsid w:val="00943175"/>
    <w:rsid w:val="0094329A"/>
    <w:rsid w:val="009432DF"/>
    <w:rsid w:val="0094358A"/>
    <w:rsid w:val="00943A64"/>
    <w:rsid w:val="00943B0E"/>
    <w:rsid w:val="00943D4D"/>
    <w:rsid w:val="00943D6D"/>
    <w:rsid w:val="00944097"/>
    <w:rsid w:val="00944120"/>
    <w:rsid w:val="00944145"/>
    <w:rsid w:val="009443C3"/>
    <w:rsid w:val="0094461A"/>
    <w:rsid w:val="009446CB"/>
    <w:rsid w:val="0094491F"/>
    <w:rsid w:val="00944A27"/>
    <w:rsid w:val="00944DC0"/>
    <w:rsid w:val="00944EC3"/>
    <w:rsid w:val="00944ECE"/>
    <w:rsid w:val="00945140"/>
    <w:rsid w:val="00945193"/>
    <w:rsid w:val="0094520C"/>
    <w:rsid w:val="00945294"/>
    <w:rsid w:val="009452D1"/>
    <w:rsid w:val="009453AD"/>
    <w:rsid w:val="009453C1"/>
    <w:rsid w:val="00945419"/>
    <w:rsid w:val="00945806"/>
    <w:rsid w:val="00945A79"/>
    <w:rsid w:val="00945A8A"/>
    <w:rsid w:val="00945B01"/>
    <w:rsid w:val="00945C2A"/>
    <w:rsid w:val="00945E9A"/>
    <w:rsid w:val="00945F07"/>
    <w:rsid w:val="00945FC8"/>
    <w:rsid w:val="00946050"/>
    <w:rsid w:val="0094620B"/>
    <w:rsid w:val="00946311"/>
    <w:rsid w:val="009463D5"/>
    <w:rsid w:val="00946546"/>
    <w:rsid w:val="00946A4B"/>
    <w:rsid w:val="00946B7E"/>
    <w:rsid w:val="00946C21"/>
    <w:rsid w:val="00946D3E"/>
    <w:rsid w:val="00946D6A"/>
    <w:rsid w:val="00946DCA"/>
    <w:rsid w:val="00946F5F"/>
    <w:rsid w:val="00946F6C"/>
    <w:rsid w:val="0094708E"/>
    <w:rsid w:val="00947192"/>
    <w:rsid w:val="009471FE"/>
    <w:rsid w:val="0094724A"/>
    <w:rsid w:val="009474D4"/>
    <w:rsid w:val="009477E2"/>
    <w:rsid w:val="00947AEC"/>
    <w:rsid w:val="00947B22"/>
    <w:rsid w:val="00947C2B"/>
    <w:rsid w:val="00947EE9"/>
    <w:rsid w:val="009500F7"/>
    <w:rsid w:val="0095040C"/>
    <w:rsid w:val="009504B7"/>
    <w:rsid w:val="009504CD"/>
    <w:rsid w:val="0095055A"/>
    <w:rsid w:val="00950618"/>
    <w:rsid w:val="009507C0"/>
    <w:rsid w:val="009507FE"/>
    <w:rsid w:val="00950804"/>
    <w:rsid w:val="00950865"/>
    <w:rsid w:val="00950904"/>
    <w:rsid w:val="009509D3"/>
    <w:rsid w:val="00950DB9"/>
    <w:rsid w:val="00950DD2"/>
    <w:rsid w:val="00950DF7"/>
    <w:rsid w:val="00950EC6"/>
    <w:rsid w:val="00951150"/>
    <w:rsid w:val="0095119A"/>
    <w:rsid w:val="009511D6"/>
    <w:rsid w:val="009513CB"/>
    <w:rsid w:val="009514F5"/>
    <w:rsid w:val="0095177D"/>
    <w:rsid w:val="00951780"/>
    <w:rsid w:val="009517B3"/>
    <w:rsid w:val="0095193D"/>
    <w:rsid w:val="00951951"/>
    <w:rsid w:val="00951D0E"/>
    <w:rsid w:val="00951D98"/>
    <w:rsid w:val="0095217E"/>
    <w:rsid w:val="009522E3"/>
    <w:rsid w:val="0095236B"/>
    <w:rsid w:val="00952477"/>
    <w:rsid w:val="0095253F"/>
    <w:rsid w:val="00952660"/>
    <w:rsid w:val="00952733"/>
    <w:rsid w:val="009527AD"/>
    <w:rsid w:val="00952A4A"/>
    <w:rsid w:val="00952AF2"/>
    <w:rsid w:val="00952B08"/>
    <w:rsid w:val="00952BE7"/>
    <w:rsid w:val="00952C27"/>
    <w:rsid w:val="00952E2D"/>
    <w:rsid w:val="00952E43"/>
    <w:rsid w:val="00953031"/>
    <w:rsid w:val="00953130"/>
    <w:rsid w:val="0095329C"/>
    <w:rsid w:val="009534BF"/>
    <w:rsid w:val="009534EA"/>
    <w:rsid w:val="00953559"/>
    <w:rsid w:val="00953762"/>
    <w:rsid w:val="00953811"/>
    <w:rsid w:val="00953826"/>
    <w:rsid w:val="009539BB"/>
    <w:rsid w:val="00953A13"/>
    <w:rsid w:val="00953B01"/>
    <w:rsid w:val="00953B3F"/>
    <w:rsid w:val="00953BFC"/>
    <w:rsid w:val="00953D1B"/>
    <w:rsid w:val="00953DAD"/>
    <w:rsid w:val="00953EE2"/>
    <w:rsid w:val="00953FD0"/>
    <w:rsid w:val="00953FF1"/>
    <w:rsid w:val="0095403B"/>
    <w:rsid w:val="0095405C"/>
    <w:rsid w:val="009541F3"/>
    <w:rsid w:val="009542E3"/>
    <w:rsid w:val="0095430E"/>
    <w:rsid w:val="009543E1"/>
    <w:rsid w:val="009547D0"/>
    <w:rsid w:val="00954C3C"/>
    <w:rsid w:val="00954E42"/>
    <w:rsid w:val="0095512E"/>
    <w:rsid w:val="0095519E"/>
    <w:rsid w:val="0095522A"/>
    <w:rsid w:val="009554DB"/>
    <w:rsid w:val="009556D0"/>
    <w:rsid w:val="009556DF"/>
    <w:rsid w:val="00955765"/>
    <w:rsid w:val="0095581A"/>
    <w:rsid w:val="00955890"/>
    <w:rsid w:val="009558DA"/>
    <w:rsid w:val="009558F0"/>
    <w:rsid w:val="00955A60"/>
    <w:rsid w:val="00955DA9"/>
    <w:rsid w:val="00955DB6"/>
    <w:rsid w:val="009564C1"/>
    <w:rsid w:val="00956678"/>
    <w:rsid w:val="00956795"/>
    <w:rsid w:val="009567D3"/>
    <w:rsid w:val="00956B4C"/>
    <w:rsid w:val="00956C13"/>
    <w:rsid w:val="00956C5A"/>
    <w:rsid w:val="00956CAE"/>
    <w:rsid w:val="00956CCE"/>
    <w:rsid w:val="0095701B"/>
    <w:rsid w:val="009571F4"/>
    <w:rsid w:val="00957222"/>
    <w:rsid w:val="0095728B"/>
    <w:rsid w:val="00957392"/>
    <w:rsid w:val="00957639"/>
    <w:rsid w:val="0095773A"/>
    <w:rsid w:val="00957798"/>
    <w:rsid w:val="00957D6C"/>
    <w:rsid w:val="00957DCD"/>
    <w:rsid w:val="00957E13"/>
    <w:rsid w:val="009601F9"/>
    <w:rsid w:val="0096041A"/>
    <w:rsid w:val="009605CC"/>
    <w:rsid w:val="0096071A"/>
    <w:rsid w:val="009607CC"/>
    <w:rsid w:val="00960829"/>
    <w:rsid w:val="0096096E"/>
    <w:rsid w:val="009609EC"/>
    <w:rsid w:val="00960B57"/>
    <w:rsid w:val="00960C66"/>
    <w:rsid w:val="00960DF4"/>
    <w:rsid w:val="00960F56"/>
    <w:rsid w:val="00961198"/>
    <w:rsid w:val="009611C3"/>
    <w:rsid w:val="009612F9"/>
    <w:rsid w:val="0096142D"/>
    <w:rsid w:val="00961505"/>
    <w:rsid w:val="0096165A"/>
    <w:rsid w:val="009619F4"/>
    <w:rsid w:val="00961C79"/>
    <w:rsid w:val="009621D0"/>
    <w:rsid w:val="009621E7"/>
    <w:rsid w:val="0096231C"/>
    <w:rsid w:val="009623A3"/>
    <w:rsid w:val="00962463"/>
    <w:rsid w:val="0096264B"/>
    <w:rsid w:val="009626FC"/>
    <w:rsid w:val="00962C64"/>
    <w:rsid w:val="00962DCA"/>
    <w:rsid w:val="00962DE6"/>
    <w:rsid w:val="00962E4B"/>
    <w:rsid w:val="00962E62"/>
    <w:rsid w:val="00962E8A"/>
    <w:rsid w:val="00962EAF"/>
    <w:rsid w:val="0096301F"/>
    <w:rsid w:val="00963421"/>
    <w:rsid w:val="00963720"/>
    <w:rsid w:val="00963890"/>
    <w:rsid w:val="0096395C"/>
    <w:rsid w:val="00963972"/>
    <w:rsid w:val="00963B13"/>
    <w:rsid w:val="00963F75"/>
    <w:rsid w:val="00964039"/>
    <w:rsid w:val="00964311"/>
    <w:rsid w:val="00964474"/>
    <w:rsid w:val="009644BB"/>
    <w:rsid w:val="0096452F"/>
    <w:rsid w:val="00964586"/>
    <w:rsid w:val="0096464F"/>
    <w:rsid w:val="0096473E"/>
    <w:rsid w:val="009647EE"/>
    <w:rsid w:val="00964855"/>
    <w:rsid w:val="00964B0C"/>
    <w:rsid w:val="00964F40"/>
    <w:rsid w:val="00964FA0"/>
    <w:rsid w:val="00964FEE"/>
    <w:rsid w:val="00965267"/>
    <w:rsid w:val="00965385"/>
    <w:rsid w:val="009656C3"/>
    <w:rsid w:val="009657C7"/>
    <w:rsid w:val="0096580D"/>
    <w:rsid w:val="009659F5"/>
    <w:rsid w:val="00965AA6"/>
    <w:rsid w:val="00965B00"/>
    <w:rsid w:val="00965C26"/>
    <w:rsid w:val="00965CC2"/>
    <w:rsid w:val="00965E50"/>
    <w:rsid w:val="00965EB2"/>
    <w:rsid w:val="0096615E"/>
    <w:rsid w:val="009661B0"/>
    <w:rsid w:val="009661D9"/>
    <w:rsid w:val="0096625C"/>
    <w:rsid w:val="009662D4"/>
    <w:rsid w:val="00966388"/>
    <w:rsid w:val="009664F8"/>
    <w:rsid w:val="009667E7"/>
    <w:rsid w:val="0096683D"/>
    <w:rsid w:val="00966C0B"/>
    <w:rsid w:val="00966C91"/>
    <w:rsid w:val="00966C9F"/>
    <w:rsid w:val="00966EEC"/>
    <w:rsid w:val="00966EFB"/>
    <w:rsid w:val="00966F13"/>
    <w:rsid w:val="009671E5"/>
    <w:rsid w:val="009675F7"/>
    <w:rsid w:val="009677AB"/>
    <w:rsid w:val="00967802"/>
    <w:rsid w:val="00967BEB"/>
    <w:rsid w:val="00967E95"/>
    <w:rsid w:val="00967EDA"/>
    <w:rsid w:val="00970167"/>
    <w:rsid w:val="009704E0"/>
    <w:rsid w:val="009705ED"/>
    <w:rsid w:val="009705F7"/>
    <w:rsid w:val="00970667"/>
    <w:rsid w:val="009706FF"/>
    <w:rsid w:val="0097091D"/>
    <w:rsid w:val="00970A66"/>
    <w:rsid w:val="00970A6F"/>
    <w:rsid w:val="00970AA8"/>
    <w:rsid w:val="00970D81"/>
    <w:rsid w:val="00970DB6"/>
    <w:rsid w:val="00970E89"/>
    <w:rsid w:val="00970F07"/>
    <w:rsid w:val="009711B7"/>
    <w:rsid w:val="009711ED"/>
    <w:rsid w:val="009712D5"/>
    <w:rsid w:val="00971392"/>
    <w:rsid w:val="009713AD"/>
    <w:rsid w:val="0097148F"/>
    <w:rsid w:val="0097172C"/>
    <w:rsid w:val="009719D7"/>
    <w:rsid w:val="00971BBB"/>
    <w:rsid w:val="00971F71"/>
    <w:rsid w:val="00971FB8"/>
    <w:rsid w:val="00972037"/>
    <w:rsid w:val="0097210E"/>
    <w:rsid w:val="00972130"/>
    <w:rsid w:val="0097223C"/>
    <w:rsid w:val="009722DD"/>
    <w:rsid w:val="0097249F"/>
    <w:rsid w:val="0097250C"/>
    <w:rsid w:val="00972697"/>
    <w:rsid w:val="00972838"/>
    <w:rsid w:val="009728BA"/>
    <w:rsid w:val="00972BBD"/>
    <w:rsid w:val="00972BFF"/>
    <w:rsid w:val="00972CD8"/>
    <w:rsid w:val="00972F00"/>
    <w:rsid w:val="00972F21"/>
    <w:rsid w:val="00972F56"/>
    <w:rsid w:val="0097315D"/>
    <w:rsid w:val="009736DE"/>
    <w:rsid w:val="00973755"/>
    <w:rsid w:val="00973824"/>
    <w:rsid w:val="00973A66"/>
    <w:rsid w:val="00973B65"/>
    <w:rsid w:val="00973D6F"/>
    <w:rsid w:val="009741B5"/>
    <w:rsid w:val="009741D5"/>
    <w:rsid w:val="00974258"/>
    <w:rsid w:val="00974916"/>
    <w:rsid w:val="00974A1B"/>
    <w:rsid w:val="00974A32"/>
    <w:rsid w:val="00974A81"/>
    <w:rsid w:val="00974B81"/>
    <w:rsid w:val="00974BB9"/>
    <w:rsid w:val="00974C6E"/>
    <w:rsid w:val="00974C95"/>
    <w:rsid w:val="00974D04"/>
    <w:rsid w:val="00974D47"/>
    <w:rsid w:val="00974E77"/>
    <w:rsid w:val="00975117"/>
    <w:rsid w:val="009751BF"/>
    <w:rsid w:val="009751CE"/>
    <w:rsid w:val="00975426"/>
    <w:rsid w:val="00975833"/>
    <w:rsid w:val="00975836"/>
    <w:rsid w:val="009758C5"/>
    <w:rsid w:val="00975A1F"/>
    <w:rsid w:val="00975A65"/>
    <w:rsid w:val="0097628D"/>
    <w:rsid w:val="0097630B"/>
    <w:rsid w:val="00976416"/>
    <w:rsid w:val="0097649E"/>
    <w:rsid w:val="009765CC"/>
    <w:rsid w:val="0097669A"/>
    <w:rsid w:val="009767D0"/>
    <w:rsid w:val="00976E05"/>
    <w:rsid w:val="00976E20"/>
    <w:rsid w:val="00977485"/>
    <w:rsid w:val="009775C3"/>
    <w:rsid w:val="00977703"/>
    <w:rsid w:val="0097776F"/>
    <w:rsid w:val="009778BD"/>
    <w:rsid w:val="009779D6"/>
    <w:rsid w:val="009779DB"/>
    <w:rsid w:val="00977A7E"/>
    <w:rsid w:val="00977B0F"/>
    <w:rsid w:val="00977B7D"/>
    <w:rsid w:val="00977D34"/>
    <w:rsid w:val="00977D97"/>
    <w:rsid w:val="00977F1B"/>
    <w:rsid w:val="0097AEE4"/>
    <w:rsid w:val="00980100"/>
    <w:rsid w:val="0098011E"/>
    <w:rsid w:val="00980133"/>
    <w:rsid w:val="00980209"/>
    <w:rsid w:val="00980319"/>
    <w:rsid w:val="00980423"/>
    <w:rsid w:val="00980777"/>
    <w:rsid w:val="00980814"/>
    <w:rsid w:val="00980889"/>
    <w:rsid w:val="00980A96"/>
    <w:rsid w:val="00980D64"/>
    <w:rsid w:val="00980E76"/>
    <w:rsid w:val="00981044"/>
    <w:rsid w:val="009816B7"/>
    <w:rsid w:val="0098184A"/>
    <w:rsid w:val="0098188B"/>
    <w:rsid w:val="009819F0"/>
    <w:rsid w:val="00981A2B"/>
    <w:rsid w:val="00981B68"/>
    <w:rsid w:val="00981D09"/>
    <w:rsid w:val="00982072"/>
    <w:rsid w:val="009821BE"/>
    <w:rsid w:val="0098234A"/>
    <w:rsid w:val="009824A0"/>
    <w:rsid w:val="009824CB"/>
    <w:rsid w:val="00982600"/>
    <w:rsid w:val="00982819"/>
    <w:rsid w:val="00982A3F"/>
    <w:rsid w:val="00982BF7"/>
    <w:rsid w:val="00982D37"/>
    <w:rsid w:val="00982DDC"/>
    <w:rsid w:val="00982E81"/>
    <w:rsid w:val="00982E88"/>
    <w:rsid w:val="00982F11"/>
    <w:rsid w:val="00982F5C"/>
    <w:rsid w:val="00982FB8"/>
    <w:rsid w:val="00983096"/>
    <w:rsid w:val="009830C8"/>
    <w:rsid w:val="00983507"/>
    <w:rsid w:val="00983547"/>
    <w:rsid w:val="0098366B"/>
    <w:rsid w:val="00983927"/>
    <w:rsid w:val="00983C1F"/>
    <w:rsid w:val="00983DFF"/>
    <w:rsid w:val="00983F16"/>
    <w:rsid w:val="00983FE5"/>
    <w:rsid w:val="00984099"/>
    <w:rsid w:val="009841C2"/>
    <w:rsid w:val="009841C9"/>
    <w:rsid w:val="009841F8"/>
    <w:rsid w:val="009842B1"/>
    <w:rsid w:val="00984726"/>
    <w:rsid w:val="00984832"/>
    <w:rsid w:val="00984907"/>
    <w:rsid w:val="00984908"/>
    <w:rsid w:val="00984947"/>
    <w:rsid w:val="00984C39"/>
    <w:rsid w:val="00984D0B"/>
    <w:rsid w:val="00984D40"/>
    <w:rsid w:val="00984FF6"/>
    <w:rsid w:val="00985025"/>
    <w:rsid w:val="009851CB"/>
    <w:rsid w:val="009853E7"/>
    <w:rsid w:val="009854E1"/>
    <w:rsid w:val="00985A41"/>
    <w:rsid w:val="00985AAD"/>
    <w:rsid w:val="00985AF4"/>
    <w:rsid w:val="00985E68"/>
    <w:rsid w:val="00985ECB"/>
    <w:rsid w:val="00985EDE"/>
    <w:rsid w:val="00985F7E"/>
    <w:rsid w:val="00986116"/>
    <w:rsid w:val="009864E7"/>
    <w:rsid w:val="00986724"/>
    <w:rsid w:val="00986784"/>
    <w:rsid w:val="00986794"/>
    <w:rsid w:val="009867A2"/>
    <w:rsid w:val="009868D2"/>
    <w:rsid w:val="00986D06"/>
    <w:rsid w:val="00986DB6"/>
    <w:rsid w:val="00986E58"/>
    <w:rsid w:val="00986EFA"/>
    <w:rsid w:val="00986F11"/>
    <w:rsid w:val="0098707A"/>
    <w:rsid w:val="009870F2"/>
    <w:rsid w:val="009872AE"/>
    <w:rsid w:val="0098749A"/>
    <w:rsid w:val="0098756B"/>
    <w:rsid w:val="009877D1"/>
    <w:rsid w:val="0098783C"/>
    <w:rsid w:val="00987B61"/>
    <w:rsid w:val="00987BA6"/>
    <w:rsid w:val="00987CED"/>
    <w:rsid w:val="00987E46"/>
    <w:rsid w:val="00987E58"/>
    <w:rsid w:val="00987E75"/>
    <w:rsid w:val="0099000E"/>
    <w:rsid w:val="0099001F"/>
    <w:rsid w:val="00990035"/>
    <w:rsid w:val="009901CE"/>
    <w:rsid w:val="00990239"/>
    <w:rsid w:val="00990644"/>
    <w:rsid w:val="00990720"/>
    <w:rsid w:val="00990BEA"/>
    <w:rsid w:val="00990C51"/>
    <w:rsid w:val="00990D46"/>
    <w:rsid w:val="00990DE9"/>
    <w:rsid w:val="00990EC6"/>
    <w:rsid w:val="00990ED2"/>
    <w:rsid w:val="00990F53"/>
    <w:rsid w:val="009910C5"/>
    <w:rsid w:val="009912B0"/>
    <w:rsid w:val="009914E6"/>
    <w:rsid w:val="00991516"/>
    <w:rsid w:val="00991556"/>
    <w:rsid w:val="009916F8"/>
    <w:rsid w:val="00991A25"/>
    <w:rsid w:val="00991C1E"/>
    <w:rsid w:val="00991C8B"/>
    <w:rsid w:val="00991E54"/>
    <w:rsid w:val="00992038"/>
    <w:rsid w:val="00992141"/>
    <w:rsid w:val="0099233F"/>
    <w:rsid w:val="009923C1"/>
    <w:rsid w:val="00992461"/>
    <w:rsid w:val="009924C0"/>
    <w:rsid w:val="00992508"/>
    <w:rsid w:val="00992806"/>
    <w:rsid w:val="00992857"/>
    <w:rsid w:val="0099288A"/>
    <w:rsid w:val="0099291C"/>
    <w:rsid w:val="00992A4A"/>
    <w:rsid w:val="00992BF2"/>
    <w:rsid w:val="00992C9C"/>
    <w:rsid w:val="00992CF1"/>
    <w:rsid w:val="00992DB1"/>
    <w:rsid w:val="00992DB7"/>
    <w:rsid w:val="00992DCE"/>
    <w:rsid w:val="00992F99"/>
    <w:rsid w:val="0099302F"/>
    <w:rsid w:val="009930F8"/>
    <w:rsid w:val="009931E3"/>
    <w:rsid w:val="009933E8"/>
    <w:rsid w:val="0099340D"/>
    <w:rsid w:val="00993A24"/>
    <w:rsid w:val="00993A66"/>
    <w:rsid w:val="00993CCD"/>
    <w:rsid w:val="00993CF8"/>
    <w:rsid w:val="00993D4B"/>
    <w:rsid w:val="00993D8F"/>
    <w:rsid w:val="0099406E"/>
    <w:rsid w:val="0099419E"/>
    <w:rsid w:val="009943A7"/>
    <w:rsid w:val="0099449D"/>
    <w:rsid w:val="009944B2"/>
    <w:rsid w:val="0099456F"/>
    <w:rsid w:val="009947B2"/>
    <w:rsid w:val="00994E52"/>
    <w:rsid w:val="00994FEE"/>
    <w:rsid w:val="009950A3"/>
    <w:rsid w:val="00995133"/>
    <w:rsid w:val="009951E2"/>
    <w:rsid w:val="0099550F"/>
    <w:rsid w:val="009956C2"/>
    <w:rsid w:val="009957A1"/>
    <w:rsid w:val="009957BD"/>
    <w:rsid w:val="0099593F"/>
    <w:rsid w:val="00995AB3"/>
    <w:rsid w:val="00995C90"/>
    <w:rsid w:val="00995D0F"/>
    <w:rsid w:val="00995F1B"/>
    <w:rsid w:val="00995F55"/>
    <w:rsid w:val="00995F5A"/>
    <w:rsid w:val="00996128"/>
    <w:rsid w:val="00996365"/>
    <w:rsid w:val="0099648A"/>
    <w:rsid w:val="009967A5"/>
    <w:rsid w:val="00996876"/>
    <w:rsid w:val="00996BAE"/>
    <w:rsid w:val="00996C23"/>
    <w:rsid w:val="00996E66"/>
    <w:rsid w:val="00997018"/>
    <w:rsid w:val="009970F0"/>
    <w:rsid w:val="00997130"/>
    <w:rsid w:val="009971A6"/>
    <w:rsid w:val="009971B8"/>
    <w:rsid w:val="00997365"/>
    <w:rsid w:val="00997487"/>
    <w:rsid w:val="009974F1"/>
    <w:rsid w:val="00997699"/>
    <w:rsid w:val="0099775C"/>
    <w:rsid w:val="0099777B"/>
    <w:rsid w:val="0099785B"/>
    <w:rsid w:val="009979FA"/>
    <w:rsid w:val="00997ABF"/>
    <w:rsid w:val="00997B6C"/>
    <w:rsid w:val="00997C8D"/>
    <w:rsid w:val="00997D3F"/>
    <w:rsid w:val="00997EA5"/>
    <w:rsid w:val="00997F66"/>
    <w:rsid w:val="00997FB8"/>
    <w:rsid w:val="00997FE9"/>
    <w:rsid w:val="009A013B"/>
    <w:rsid w:val="009A0283"/>
    <w:rsid w:val="009A033F"/>
    <w:rsid w:val="009A0422"/>
    <w:rsid w:val="009A04F9"/>
    <w:rsid w:val="009A053A"/>
    <w:rsid w:val="009A055D"/>
    <w:rsid w:val="009A0594"/>
    <w:rsid w:val="009A0632"/>
    <w:rsid w:val="009A078C"/>
    <w:rsid w:val="009A098E"/>
    <w:rsid w:val="009A09CA"/>
    <w:rsid w:val="009A0A14"/>
    <w:rsid w:val="009A0CF0"/>
    <w:rsid w:val="009A0D0F"/>
    <w:rsid w:val="009A0D7E"/>
    <w:rsid w:val="009A0FC3"/>
    <w:rsid w:val="009A0FE3"/>
    <w:rsid w:val="009A1021"/>
    <w:rsid w:val="009A111F"/>
    <w:rsid w:val="009A1273"/>
    <w:rsid w:val="009A1282"/>
    <w:rsid w:val="009A14FF"/>
    <w:rsid w:val="009A1768"/>
    <w:rsid w:val="009A1865"/>
    <w:rsid w:val="009A189E"/>
    <w:rsid w:val="009A18B4"/>
    <w:rsid w:val="009A19E5"/>
    <w:rsid w:val="009A1C33"/>
    <w:rsid w:val="009A1C4B"/>
    <w:rsid w:val="009A1C89"/>
    <w:rsid w:val="009A20B9"/>
    <w:rsid w:val="009A2107"/>
    <w:rsid w:val="009A278C"/>
    <w:rsid w:val="009A27F8"/>
    <w:rsid w:val="009A293C"/>
    <w:rsid w:val="009A2943"/>
    <w:rsid w:val="009A29CB"/>
    <w:rsid w:val="009A29CF"/>
    <w:rsid w:val="009A2B78"/>
    <w:rsid w:val="009A2BEA"/>
    <w:rsid w:val="009A2DB7"/>
    <w:rsid w:val="009A2F78"/>
    <w:rsid w:val="009A30E3"/>
    <w:rsid w:val="009A3428"/>
    <w:rsid w:val="009A34D8"/>
    <w:rsid w:val="009A35AB"/>
    <w:rsid w:val="009A37B0"/>
    <w:rsid w:val="009A3968"/>
    <w:rsid w:val="009A39BC"/>
    <w:rsid w:val="009A3AFD"/>
    <w:rsid w:val="009A3B37"/>
    <w:rsid w:val="009A3B40"/>
    <w:rsid w:val="009A3B94"/>
    <w:rsid w:val="009A3C48"/>
    <w:rsid w:val="009A3E3E"/>
    <w:rsid w:val="009A3E81"/>
    <w:rsid w:val="009A3EA3"/>
    <w:rsid w:val="009A3EBE"/>
    <w:rsid w:val="009A3FA3"/>
    <w:rsid w:val="009A4049"/>
    <w:rsid w:val="009A41D9"/>
    <w:rsid w:val="009A4247"/>
    <w:rsid w:val="009A47C8"/>
    <w:rsid w:val="009A48FF"/>
    <w:rsid w:val="009A4A7C"/>
    <w:rsid w:val="009A4C13"/>
    <w:rsid w:val="009A4CC8"/>
    <w:rsid w:val="009A4E89"/>
    <w:rsid w:val="009A4ED6"/>
    <w:rsid w:val="009A4F8D"/>
    <w:rsid w:val="009A5006"/>
    <w:rsid w:val="009A5127"/>
    <w:rsid w:val="009A51EF"/>
    <w:rsid w:val="009A52A5"/>
    <w:rsid w:val="009A54BF"/>
    <w:rsid w:val="009A57A7"/>
    <w:rsid w:val="009A5A74"/>
    <w:rsid w:val="009A5AA4"/>
    <w:rsid w:val="009A5D2C"/>
    <w:rsid w:val="009A5D5D"/>
    <w:rsid w:val="009A5EC2"/>
    <w:rsid w:val="009A5FFD"/>
    <w:rsid w:val="009A60AA"/>
    <w:rsid w:val="009A611B"/>
    <w:rsid w:val="009A617B"/>
    <w:rsid w:val="009A646D"/>
    <w:rsid w:val="009A64C2"/>
    <w:rsid w:val="009A6632"/>
    <w:rsid w:val="009A6AEC"/>
    <w:rsid w:val="009A6AF3"/>
    <w:rsid w:val="009A6BBB"/>
    <w:rsid w:val="009A6EDA"/>
    <w:rsid w:val="009A711D"/>
    <w:rsid w:val="009A71D5"/>
    <w:rsid w:val="009A7284"/>
    <w:rsid w:val="009A7540"/>
    <w:rsid w:val="009A7858"/>
    <w:rsid w:val="009A7932"/>
    <w:rsid w:val="009A7DF6"/>
    <w:rsid w:val="009B02E6"/>
    <w:rsid w:val="009B0642"/>
    <w:rsid w:val="009B06DD"/>
    <w:rsid w:val="009B072E"/>
    <w:rsid w:val="009B0860"/>
    <w:rsid w:val="009B0A64"/>
    <w:rsid w:val="009B0AEA"/>
    <w:rsid w:val="009B0C38"/>
    <w:rsid w:val="009B0C86"/>
    <w:rsid w:val="009B0DE2"/>
    <w:rsid w:val="009B0DE9"/>
    <w:rsid w:val="009B0E2E"/>
    <w:rsid w:val="009B0F60"/>
    <w:rsid w:val="009B0F95"/>
    <w:rsid w:val="009B102C"/>
    <w:rsid w:val="009B12BE"/>
    <w:rsid w:val="009B13D2"/>
    <w:rsid w:val="009B1498"/>
    <w:rsid w:val="009B14A0"/>
    <w:rsid w:val="009B1567"/>
    <w:rsid w:val="009B16C8"/>
    <w:rsid w:val="009B193C"/>
    <w:rsid w:val="009B1B70"/>
    <w:rsid w:val="009B1C40"/>
    <w:rsid w:val="009B1D84"/>
    <w:rsid w:val="009B1F0E"/>
    <w:rsid w:val="009B20D3"/>
    <w:rsid w:val="009B213B"/>
    <w:rsid w:val="009B21DE"/>
    <w:rsid w:val="009B22C8"/>
    <w:rsid w:val="009B23E5"/>
    <w:rsid w:val="009B2596"/>
    <w:rsid w:val="009B266F"/>
    <w:rsid w:val="009B27B1"/>
    <w:rsid w:val="009B2A19"/>
    <w:rsid w:val="009B2AD4"/>
    <w:rsid w:val="009B2DF8"/>
    <w:rsid w:val="009B304C"/>
    <w:rsid w:val="009B3345"/>
    <w:rsid w:val="009B334B"/>
    <w:rsid w:val="009B365A"/>
    <w:rsid w:val="009B3695"/>
    <w:rsid w:val="009B3704"/>
    <w:rsid w:val="009B380B"/>
    <w:rsid w:val="009B38E6"/>
    <w:rsid w:val="009B3B0C"/>
    <w:rsid w:val="009B3C54"/>
    <w:rsid w:val="009B3D33"/>
    <w:rsid w:val="009B428E"/>
    <w:rsid w:val="009B42A7"/>
    <w:rsid w:val="009B4A15"/>
    <w:rsid w:val="009B4BD7"/>
    <w:rsid w:val="009B4CD5"/>
    <w:rsid w:val="009B4F44"/>
    <w:rsid w:val="009B502A"/>
    <w:rsid w:val="009B50B4"/>
    <w:rsid w:val="009B50B9"/>
    <w:rsid w:val="009B5127"/>
    <w:rsid w:val="009B5254"/>
    <w:rsid w:val="009B5445"/>
    <w:rsid w:val="009B5497"/>
    <w:rsid w:val="009B551A"/>
    <w:rsid w:val="009B592F"/>
    <w:rsid w:val="009B59C9"/>
    <w:rsid w:val="009B5B3B"/>
    <w:rsid w:val="009B5B86"/>
    <w:rsid w:val="009B5F46"/>
    <w:rsid w:val="009B6298"/>
    <w:rsid w:val="009B62F0"/>
    <w:rsid w:val="009B64F2"/>
    <w:rsid w:val="009B64F9"/>
    <w:rsid w:val="009B6675"/>
    <w:rsid w:val="009B68B4"/>
    <w:rsid w:val="009B6901"/>
    <w:rsid w:val="009B6B08"/>
    <w:rsid w:val="009B6FA0"/>
    <w:rsid w:val="009B7023"/>
    <w:rsid w:val="009B7313"/>
    <w:rsid w:val="009B73FA"/>
    <w:rsid w:val="009B74F1"/>
    <w:rsid w:val="009B7573"/>
    <w:rsid w:val="009B7729"/>
    <w:rsid w:val="009B77A2"/>
    <w:rsid w:val="009B797D"/>
    <w:rsid w:val="009B7BE4"/>
    <w:rsid w:val="009B7CDB"/>
    <w:rsid w:val="009B7F47"/>
    <w:rsid w:val="009B7FF5"/>
    <w:rsid w:val="009C0231"/>
    <w:rsid w:val="009C02F2"/>
    <w:rsid w:val="009C03C8"/>
    <w:rsid w:val="009C0675"/>
    <w:rsid w:val="009C069F"/>
    <w:rsid w:val="009C0720"/>
    <w:rsid w:val="009C0737"/>
    <w:rsid w:val="009C0CEA"/>
    <w:rsid w:val="009C0D8C"/>
    <w:rsid w:val="009C0E31"/>
    <w:rsid w:val="009C0F1C"/>
    <w:rsid w:val="009C1177"/>
    <w:rsid w:val="009C1315"/>
    <w:rsid w:val="009C1686"/>
    <w:rsid w:val="009C16DE"/>
    <w:rsid w:val="009C1757"/>
    <w:rsid w:val="009C1CAD"/>
    <w:rsid w:val="009C1E70"/>
    <w:rsid w:val="009C220F"/>
    <w:rsid w:val="009C223F"/>
    <w:rsid w:val="009C2357"/>
    <w:rsid w:val="009C2652"/>
    <w:rsid w:val="009C2757"/>
    <w:rsid w:val="009C2B1A"/>
    <w:rsid w:val="009C30CD"/>
    <w:rsid w:val="009C3171"/>
    <w:rsid w:val="009C318D"/>
    <w:rsid w:val="009C31D1"/>
    <w:rsid w:val="009C31F5"/>
    <w:rsid w:val="009C335A"/>
    <w:rsid w:val="009C33F7"/>
    <w:rsid w:val="009C3795"/>
    <w:rsid w:val="009C382D"/>
    <w:rsid w:val="009C39EB"/>
    <w:rsid w:val="009C3C65"/>
    <w:rsid w:val="009C3DB1"/>
    <w:rsid w:val="009C3E51"/>
    <w:rsid w:val="009C3F8F"/>
    <w:rsid w:val="009C405F"/>
    <w:rsid w:val="009C4372"/>
    <w:rsid w:val="009C4482"/>
    <w:rsid w:val="009C46EB"/>
    <w:rsid w:val="009C480D"/>
    <w:rsid w:val="009C4837"/>
    <w:rsid w:val="009C4852"/>
    <w:rsid w:val="009C4892"/>
    <w:rsid w:val="009C4897"/>
    <w:rsid w:val="009C49DB"/>
    <w:rsid w:val="009C4A3D"/>
    <w:rsid w:val="009C4AE8"/>
    <w:rsid w:val="009C4C1D"/>
    <w:rsid w:val="009C4DB9"/>
    <w:rsid w:val="009C4EB6"/>
    <w:rsid w:val="009C4F1A"/>
    <w:rsid w:val="009C4FA2"/>
    <w:rsid w:val="009C4FFD"/>
    <w:rsid w:val="009C51C0"/>
    <w:rsid w:val="009C535D"/>
    <w:rsid w:val="009C593A"/>
    <w:rsid w:val="009C5F10"/>
    <w:rsid w:val="009C6099"/>
    <w:rsid w:val="009C60E2"/>
    <w:rsid w:val="009C613A"/>
    <w:rsid w:val="009C629A"/>
    <w:rsid w:val="009C63F7"/>
    <w:rsid w:val="009C65DE"/>
    <w:rsid w:val="009C664E"/>
    <w:rsid w:val="009C67CC"/>
    <w:rsid w:val="009C6839"/>
    <w:rsid w:val="009C6B63"/>
    <w:rsid w:val="009C6B72"/>
    <w:rsid w:val="009C6C6E"/>
    <w:rsid w:val="009C6E53"/>
    <w:rsid w:val="009C6FE5"/>
    <w:rsid w:val="009C73A7"/>
    <w:rsid w:val="009C75AC"/>
    <w:rsid w:val="009D0058"/>
    <w:rsid w:val="009D029F"/>
    <w:rsid w:val="009D02DC"/>
    <w:rsid w:val="009D036B"/>
    <w:rsid w:val="009D04B6"/>
    <w:rsid w:val="009D051A"/>
    <w:rsid w:val="009D060E"/>
    <w:rsid w:val="009D06CB"/>
    <w:rsid w:val="009D0A6E"/>
    <w:rsid w:val="009D0DBF"/>
    <w:rsid w:val="009D1007"/>
    <w:rsid w:val="009D115D"/>
    <w:rsid w:val="009D11F0"/>
    <w:rsid w:val="009D12F2"/>
    <w:rsid w:val="009D1518"/>
    <w:rsid w:val="009D15F2"/>
    <w:rsid w:val="009D172F"/>
    <w:rsid w:val="009D197B"/>
    <w:rsid w:val="009D1A81"/>
    <w:rsid w:val="009D1BCA"/>
    <w:rsid w:val="009D1F90"/>
    <w:rsid w:val="009D229B"/>
    <w:rsid w:val="009D2454"/>
    <w:rsid w:val="009D25A0"/>
    <w:rsid w:val="009D2700"/>
    <w:rsid w:val="009D280B"/>
    <w:rsid w:val="009D2A82"/>
    <w:rsid w:val="009D2B78"/>
    <w:rsid w:val="009D2C29"/>
    <w:rsid w:val="009D2E7B"/>
    <w:rsid w:val="009D2F3B"/>
    <w:rsid w:val="009D313B"/>
    <w:rsid w:val="009D3293"/>
    <w:rsid w:val="009D32F1"/>
    <w:rsid w:val="009D333F"/>
    <w:rsid w:val="009D33F7"/>
    <w:rsid w:val="009D348E"/>
    <w:rsid w:val="009D3499"/>
    <w:rsid w:val="009D3539"/>
    <w:rsid w:val="009D37B1"/>
    <w:rsid w:val="009D3B6D"/>
    <w:rsid w:val="009D3FA1"/>
    <w:rsid w:val="009D40A2"/>
    <w:rsid w:val="009D4368"/>
    <w:rsid w:val="009D446C"/>
    <w:rsid w:val="009D49AB"/>
    <w:rsid w:val="009D4DD6"/>
    <w:rsid w:val="009D4FAD"/>
    <w:rsid w:val="009D506A"/>
    <w:rsid w:val="009D50FF"/>
    <w:rsid w:val="009D58CE"/>
    <w:rsid w:val="009D5E7E"/>
    <w:rsid w:val="009D5FBF"/>
    <w:rsid w:val="009D6079"/>
    <w:rsid w:val="009D6303"/>
    <w:rsid w:val="009D68DE"/>
    <w:rsid w:val="009D691A"/>
    <w:rsid w:val="009D6B80"/>
    <w:rsid w:val="009D6ECF"/>
    <w:rsid w:val="009D7025"/>
    <w:rsid w:val="009D70E3"/>
    <w:rsid w:val="009D721E"/>
    <w:rsid w:val="009D725A"/>
    <w:rsid w:val="009D77C0"/>
    <w:rsid w:val="009D788E"/>
    <w:rsid w:val="009D7D77"/>
    <w:rsid w:val="009D7E34"/>
    <w:rsid w:val="009D7F85"/>
    <w:rsid w:val="009D7FC5"/>
    <w:rsid w:val="009E0010"/>
    <w:rsid w:val="009E005C"/>
    <w:rsid w:val="009E0124"/>
    <w:rsid w:val="009E01A1"/>
    <w:rsid w:val="009E01C1"/>
    <w:rsid w:val="009E0429"/>
    <w:rsid w:val="009E05C1"/>
    <w:rsid w:val="009E0AF9"/>
    <w:rsid w:val="009E0C60"/>
    <w:rsid w:val="009E1094"/>
    <w:rsid w:val="009E13EE"/>
    <w:rsid w:val="009E1413"/>
    <w:rsid w:val="009E1587"/>
    <w:rsid w:val="009E179D"/>
    <w:rsid w:val="009E1902"/>
    <w:rsid w:val="009E1B04"/>
    <w:rsid w:val="009E1B82"/>
    <w:rsid w:val="009E1BFA"/>
    <w:rsid w:val="009E1CB4"/>
    <w:rsid w:val="009E20E4"/>
    <w:rsid w:val="009E20F8"/>
    <w:rsid w:val="009E24AB"/>
    <w:rsid w:val="009E2528"/>
    <w:rsid w:val="009E254E"/>
    <w:rsid w:val="009E25A3"/>
    <w:rsid w:val="009E26B7"/>
    <w:rsid w:val="009E28DA"/>
    <w:rsid w:val="009E2A37"/>
    <w:rsid w:val="009E2B7A"/>
    <w:rsid w:val="009E2B81"/>
    <w:rsid w:val="009E2CC8"/>
    <w:rsid w:val="009E2D40"/>
    <w:rsid w:val="009E2D4E"/>
    <w:rsid w:val="009E2FF9"/>
    <w:rsid w:val="009E3045"/>
    <w:rsid w:val="009E332B"/>
    <w:rsid w:val="009E3456"/>
    <w:rsid w:val="009E3662"/>
    <w:rsid w:val="009E395B"/>
    <w:rsid w:val="009E3BE2"/>
    <w:rsid w:val="009E3C1E"/>
    <w:rsid w:val="009E3F6D"/>
    <w:rsid w:val="009E42DD"/>
    <w:rsid w:val="009E4699"/>
    <w:rsid w:val="009E46F0"/>
    <w:rsid w:val="009E4964"/>
    <w:rsid w:val="009E4C73"/>
    <w:rsid w:val="009E4CBA"/>
    <w:rsid w:val="009E4D67"/>
    <w:rsid w:val="009E4F5B"/>
    <w:rsid w:val="009E500C"/>
    <w:rsid w:val="009E5049"/>
    <w:rsid w:val="009E508E"/>
    <w:rsid w:val="009E53D9"/>
    <w:rsid w:val="009E56B8"/>
    <w:rsid w:val="009E5746"/>
    <w:rsid w:val="009E588E"/>
    <w:rsid w:val="009E58BA"/>
    <w:rsid w:val="009E5B1B"/>
    <w:rsid w:val="009E60B3"/>
    <w:rsid w:val="009E6207"/>
    <w:rsid w:val="009E63E2"/>
    <w:rsid w:val="009E6451"/>
    <w:rsid w:val="009E6465"/>
    <w:rsid w:val="009E658B"/>
    <w:rsid w:val="009E6595"/>
    <w:rsid w:val="009E65DD"/>
    <w:rsid w:val="009E66D9"/>
    <w:rsid w:val="009E672F"/>
    <w:rsid w:val="009E6DD9"/>
    <w:rsid w:val="009E70D8"/>
    <w:rsid w:val="009E72B7"/>
    <w:rsid w:val="009E73AF"/>
    <w:rsid w:val="009E73D0"/>
    <w:rsid w:val="009E74FD"/>
    <w:rsid w:val="009E7552"/>
    <w:rsid w:val="009E76AE"/>
    <w:rsid w:val="009E79A1"/>
    <w:rsid w:val="009E7B17"/>
    <w:rsid w:val="009F0111"/>
    <w:rsid w:val="009F020B"/>
    <w:rsid w:val="009F05FA"/>
    <w:rsid w:val="009F0670"/>
    <w:rsid w:val="009F0693"/>
    <w:rsid w:val="009F0B91"/>
    <w:rsid w:val="009F0DFA"/>
    <w:rsid w:val="009F0E14"/>
    <w:rsid w:val="009F0E4C"/>
    <w:rsid w:val="009F0E6D"/>
    <w:rsid w:val="009F0EA5"/>
    <w:rsid w:val="009F1242"/>
    <w:rsid w:val="009F1421"/>
    <w:rsid w:val="009F14E3"/>
    <w:rsid w:val="009F16C6"/>
    <w:rsid w:val="009F1769"/>
    <w:rsid w:val="009F1773"/>
    <w:rsid w:val="009F1B5C"/>
    <w:rsid w:val="009F1DD6"/>
    <w:rsid w:val="009F1FBD"/>
    <w:rsid w:val="009F201E"/>
    <w:rsid w:val="009F225D"/>
    <w:rsid w:val="009F23E0"/>
    <w:rsid w:val="009F24B2"/>
    <w:rsid w:val="009F2B99"/>
    <w:rsid w:val="009F2BC1"/>
    <w:rsid w:val="009F2DBB"/>
    <w:rsid w:val="009F2EF4"/>
    <w:rsid w:val="009F313E"/>
    <w:rsid w:val="009F32EF"/>
    <w:rsid w:val="009F33E7"/>
    <w:rsid w:val="009F340D"/>
    <w:rsid w:val="009F342B"/>
    <w:rsid w:val="009F377F"/>
    <w:rsid w:val="009F37D7"/>
    <w:rsid w:val="009F3A2F"/>
    <w:rsid w:val="009F3ACB"/>
    <w:rsid w:val="009F3F07"/>
    <w:rsid w:val="009F3F73"/>
    <w:rsid w:val="009F3FE6"/>
    <w:rsid w:val="009F407E"/>
    <w:rsid w:val="009F41BD"/>
    <w:rsid w:val="009F460E"/>
    <w:rsid w:val="009F4797"/>
    <w:rsid w:val="009F4918"/>
    <w:rsid w:val="009F4A58"/>
    <w:rsid w:val="009F4A96"/>
    <w:rsid w:val="009F4AEA"/>
    <w:rsid w:val="009F4CC8"/>
    <w:rsid w:val="009F4CF6"/>
    <w:rsid w:val="009F4E32"/>
    <w:rsid w:val="009F4EE4"/>
    <w:rsid w:val="009F4FCD"/>
    <w:rsid w:val="009F4FF5"/>
    <w:rsid w:val="009F53EF"/>
    <w:rsid w:val="009F5624"/>
    <w:rsid w:val="009F577A"/>
    <w:rsid w:val="009F57FD"/>
    <w:rsid w:val="009F5857"/>
    <w:rsid w:val="009F5AE6"/>
    <w:rsid w:val="009F5CB0"/>
    <w:rsid w:val="009F5E4A"/>
    <w:rsid w:val="009F5E51"/>
    <w:rsid w:val="009F5E84"/>
    <w:rsid w:val="009F5F19"/>
    <w:rsid w:val="009F5F86"/>
    <w:rsid w:val="009F60BF"/>
    <w:rsid w:val="009F649E"/>
    <w:rsid w:val="009F64CF"/>
    <w:rsid w:val="009F68EB"/>
    <w:rsid w:val="009F6CE5"/>
    <w:rsid w:val="009F6F2B"/>
    <w:rsid w:val="009F7069"/>
    <w:rsid w:val="009F709D"/>
    <w:rsid w:val="009F70D3"/>
    <w:rsid w:val="009F7228"/>
    <w:rsid w:val="009F7284"/>
    <w:rsid w:val="009F75CB"/>
    <w:rsid w:val="009F75F2"/>
    <w:rsid w:val="009F7706"/>
    <w:rsid w:val="009F77DF"/>
    <w:rsid w:val="009F7AAC"/>
    <w:rsid w:val="009F7B81"/>
    <w:rsid w:val="009F7D1E"/>
    <w:rsid w:val="009F7E81"/>
    <w:rsid w:val="009F7FA5"/>
    <w:rsid w:val="009F7FE4"/>
    <w:rsid w:val="00A000EE"/>
    <w:rsid w:val="00A00292"/>
    <w:rsid w:val="00A003BC"/>
    <w:rsid w:val="00A00421"/>
    <w:rsid w:val="00A0042C"/>
    <w:rsid w:val="00A0043F"/>
    <w:rsid w:val="00A00573"/>
    <w:rsid w:val="00A00747"/>
    <w:rsid w:val="00A00991"/>
    <w:rsid w:val="00A00AA1"/>
    <w:rsid w:val="00A00AC2"/>
    <w:rsid w:val="00A00D8E"/>
    <w:rsid w:val="00A00DE3"/>
    <w:rsid w:val="00A0106B"/>
    <w:rsid w:val="00A01727"/>
    <w:rsid w:val="00A01A67"/>
    <w:rsid w:val="00A01BC9"/>
    <w:rsid w:val="00A01CE1"/>
    <w:rsid w:val="00A01D05"/>
    <w:rsid w:val="00A01D48"/>
    <w:rsid w:val="00A01E50"/>
    <w:rsid w:val="00A02088"/>
    <w:rsid w:val="00A02333"/>
    <w:rsid w:val="00A025E3"/>
    <w:rsid w:val="00A02676"/>
    <w:rsid w:val="00A028D1"/>
    <w:rsid w:val="00A0292C"/>
    <w:rsid w:val="00A02ABD"/>
    <w:rsid w:val="00A02AE7"/>
    <w:rsid w:val="00A02DB6"/>
    <w:rsid w:val="00A02EF6"/>
    <w:rsid w:val="00A033FA"/>
    <w:rsid w:val="00A0351B"/>
    <w:rsid w:val="00A03703"/>
    <w:rsid w:val="00A038BA"/>
    <w:rsid w:val="00A038ED"/>
    <w:rsid w:val="00A03AE6"/>
    <w:rsid w:val="00A03B4B"/>
    <w:rsid w:val="00A03BB5"/>
    <w:rsid w:val="00A03BBD"/>
    <w:rsid w:val="00A03DD5"/>
    <w:rsid w:val="00A03E1C"/>
    <w:rsid w:val="00A03FB1"/>
    <w:rsid w:val="00A0408B"/>
    <w:rsid w:val="00A04581"/>
    <w:rsid w:val="00A04694"/>
    <w:rsid w:val="00A0477B"/>
    <w:rsid w:val="00A0486D"/>
    <w:rsid w:val="00A0494C"/>
    <w:rsid w:val="00A04BAB"/>
    <w:rsid w:val="00A04CDF"/>
    <w:rsid w:val="00A04E02"/>
    <w:rsid w:val="00A04F23"/>
    <w:rsid w:val="00A04F3F"/>
    <w:rsid w:val="00A05030"/>
    <w:rsid w:val="00A0505E"/>
    <w:rsid w:val="00A051A9"/>
    <w:rsid w:val="00A05406"/>
    <w:rsid w:val="00A054C0"/>
    <w:rsid w:val="00A05579"/>
    <w:rsid w:val="00A05671"/>
    <w:rsid w:val="00A058D9"/>
    <w:rsid w:val="00A05963"/>
    <w:rsid w:val="00A05A75"/>
    <w:rsid w:val="00A05B59"/>
    <w:rsid w:val="00A05BF4"/>
    <w:rsid w:val="00A05DF5"/>
    <w:rsid w:val="00A05E65"/>
    <w:rsid w:val="00A060AE"/>
    <w:rsid w:val="00A060F0"/>
    <w:rsid w:val="00A0614F"/>
    <w:rsid w:val="00A06178"/>
    <w:rsid w:val="00A0622D"/>
    <w:rsid w:val="00A064F2"/>
    <w:rsid w:val="00A067A6"/>
    <w:rsid w:val="00A0684D"/>
    <w:rsid w:val="00A06CB0"/>
    <w:rsid w:val="00A06CD7"/>
    <w:rsid w:val="00A06EA9"/>
    <w:rsid w:val="00A06F85"/>
    <w:rsid w:val="00A07070"/>
    <w:rsid w:val="00A070E0"/>
    <w:rsid w:val="00A070FB"/>
    <w:rsid w:val="00A072D0"/>
    <w:rsid w:val="00A073E5"/>
    <w:rsid w:val="00A07563"/>
    <w:rsid w:val="00A07630"/>
    <w:rsid w:val="00A07AEE"/>
    <w:rsid w:val="00A07AEF"/>
    <w:rsid w:val="00A07D0F"/>
    <w:rsid w:val="00A07EDB"/>
    <w:rsid w:val="00A100AC"/>
    <w:rsid w:val="00A100FF"/>
    <w:rsid w:val="00A10157"/>
    <w:rsid w:val="00A10174"/>
    <w:rsid w:val="00A1019C"/>
    <w:rsid w:val="00A1027D"/>
    <w:rsid w:val="00A10344"/>
    <w:rsid w:val="00A103A5"/>
    <w:rsid w:val="00A1049D"/>
    <w:rsid w:val="00A104AC"/>
    <w:rsid w:val="00A10724"/>
    <w:rsid w:val="00A10819"/>
    <w:rsid w:val="00A109E2"/>
    <w:rsid w:val="00A10AE6"/>
    <w:rsid w:val="00A10AF3"/>
    <w:rsid w:val="00A10F3F"/>
    <w:rsid w:val="00A10FCF"/>
    <w:rsid w:val="00A111B9"/>
    <w:rsid w:val="00A111EA"/>
    <w:rsid w:val="00A11386"/>
    <w:rsid w:val="00A1191F"/>
    <w:rsid w:val="00A119BA"/>
    <w:rsid w:val="00A11ADC"/>
    <w:rsid w:val="00A11AE6"/>
    <w:rsid w:val="00A11B4D"/>
    <w:rsid w:val="00A11C08"/>
    <w:rsid w:val="00A11CA7"/>
    <w:rsid w:val="00A11CC9"/>
    <w:rsid w:val="00A11D3F"/>
    <w:rsid w:val="00A11D40"/>
    <w:rsid w:val="00A11F69"/>
    <w:rsid w:val="00A120ED"/>
    <w:rsid w:val="00A12167"/>
    <w:rsid w:val="00A12454"/>
    <w:rsid w:val="00A127BF"/>
    <w:rsid w:val="00A12C6D"/>
    <w:rsid w:val="00A12E52"/>
    <w:rsid w:val="00A12ECC"/>
    <w:rsid w:val="00A1315F"/>
    <w:rsid w:val="00A13217"/>
    <w:rsid w:val="00A132DE"/>
    <w:rsid w:val="00A1330C"/>
    <w:rsid w:val="00A136C2"/>
    <w:rsid w:val="00A138F5"/>
    <w:rsid w:val="00A13983"/>
    <w:rsid w:val="00A13C39"/>
    <w:rsid w:val="00A13C8B"/>
    <w:rsid w:val="00A13DD3"/>
    <w:rsid w:val="00A14243"/>
    <w:rsid w:val="00A143FA"/>
    <w:rsid w:val="00A1448E"/>
    <w:rsid w:val="00A144FC"/>
    <w:rsid w:val="00A14553"/>
    <w:rsid w:val="00A145C2"/>
    <w:rsid w:val="00A146E2"/>
    <w:rsid w:val="00A14710"/>
    <w:rsid w:val="00A1481E"/>
    <w:rsid w:val="00A14CD6"/>
    <w:rsid w:val="00A14D49"/>
    <w:rsid w:val="00A14F1E"/>
    <w:rsid w:val="00A151C5"/>
    <w:rsid w:val="00A153AB"/>
    <w:rsid w:val="00A154B6"/>
    <w:rsid w:val="00A154F2"/>
    <w:rsid w:val="00A15523"/>
    <w:rsid w:val="00A15602"/>
    <w:rsid w:val="00A1566C"/>
    <w:rsid w:val="00A156AE"/>
    <w:rsid w:val="00A158F0"/>
    <w:rsid w:val="00A15918"/>
    <w:rsid w:val="00A15C1B"/>
    <w:rsid w:val="00A15D28"/>
    <w:rsid w:val="00A15DE7"/>
    <w:rsid w:val="00A15F10"/>
    <w:rsid w:val="00A16108"/>
    <w:rsid w:val="00A161FA"/>
    <w:rsid w:val="00A16523"/>
    <w:rsid w:val="00A16525"/>
    <w:rsid w:val="00A16562"/>
    <w:rsid w:val="00A169C7"/>
    <w:rsid w:val="00A16B7D"/>
    <w:rsid w:val="00A1700C"/>
    <w:rsid w:val="00A17012"/>
    <w:rsid w:val="00A17039"/>
    <w:rsid w:val="00A1706D"/>
    <w:rsid w:val="00A17148"/>
    <w:rsid w:val="00A171F9"/>
    <w:rsid w:val="00A1725A"/>
    <w:rsid w:val="00A172FD"/>
    <w:rsid w:val="00A175F1"/>
    <w:rsid w:val="00A17601"/>
    <w:rsid w:val="00A17666"/>
    <w:rsid w:val="00A17892"/>
    <w:rsid w:val="00A17AD5"/>
    <w:rsid w:val="00A17BA8"/>
    <w:rsid w:val="00A17CB8"/>
    <w:rsid w:val="00A17EB5"/>
    <w:rsid w:val="00A2034A"/>
    <w:rsid w:val="00A204C0"/>
    <w:rsid w:val="00A205A7"/>
    <w:rsid w:val="00A2062A"/>
    <w:rsid w:val="00A208AB"/>
    <w:rsid w:val="00A20D0C"/>
    <w:rsid w:val="00A20D21"/>
    <w:rsid w:val="00A20E42"/>
    <w:rsid w:val="00A20EF8"/>
    <w:rsid w:val="00A20F91"/>
    <w:rsid w:val="00A20FB9"/>
    <w:rsid w:val="00A2111A"/>
    <w:rsid w:val="00A21175"/>
    <w:rsid w:val="00A2117B"/>
    <w:rsid w:val="00A212F2"/>
    <w:rsid w:val="00A21334"/>
    <w:rsid w:val="00A214D4"/>
    <w:rsid w:val="00A215EA"/>
    <w:rsid w:val="00A2168C"/>
    <w:rsid w:val="00A217D5"/>
    <w:rsid w:val="00A217FE"/>
    <w:rsid w:val="00A2180A"/>
    <w:rsid w:val="00A2190C"/>
    <w:rsid w:val="00A21AD4"/>
    <w:rsid w:val="00A21DA8"/>
    <w:rsid w:val="00A21DB8"/>
    <w:rsid w:val="00A21E98"/>
    <w:rsid w:val="00A21F55"/>
    <w:rsid w:val="00A22321"/>
    <w:rsid w:val="00A225B7"/>
    <w:rsid w:val="00A227D9"/>
    <w:rsid w:val="00A229AA"/>
    <w:rsid w:val="00A22A01"/>
    <w:rsid w:val="00A22B12"/>
    <w:rsid w:val="00A22BFA"/>
    <w:rsid w:val="00A22EA6"/>
    <w:rsid w:val="00A22F42"/>
    <w:rsid w:val="00A23155"/>
    <w:rsid w:val="00A231FA"/>
    <w:rsid w:val="00A2321A"/>
    <w:rsid w:val="00A2343F"/>
    <w:rsid w:val="00A234B1"/>
    <w:rsid w:val="00A23558"/>
    <w:rsid w:val="00A235D0"/>
    <w:rsid w:val="00A23E09"/>
    <w:rsid w:val="00A24266"/>
    <w:rsid w:val="00A242FA"/>
    <w:rsid w:val="00A24341"/>
    <w:rsid w:val="00A24348"/>
    <w:rsid w:val="00A24361"/>
    <w:rsid w:val="00A2440B"/>
    <w:rsid w:val="00A247E2"/>
    <w:rsid w:val="00A24AC9"/>
    <w:rsid w:val="00A24B9E"/>
    <w:rsid w:val="00A24E74"/>
    <w:rsid w:val="00A24ED3"/>
    <w:rsid w:val="00A24F18"/>
    <w:rsid w:val="00A25129"/>
    <w:rsid w:val="00A25180"/>
    <w:rsid w:val="00A2533D"/>
    <w:rsid w:val="00A2540E"/>
    <w:rsid w:val="00A25415"/>
    <w:rsid w:val="00A2542B"/>
    <w:rsid w:val="00A255B5"/>
    <w:rsid w:val="00A25903"/>
    <w:rsid w:val="00A25A6C"/>
    <w:rsid w:val="00A25A89"/>
    <w:rsid w:val="00A25B30"/>
    <w:rsid w:val="00A25C0A"/>
    <w:rsid w:val="00A25CB2"/>
    <w:rsid w:val="00A25D05"/>
    <w:rsid w:val="00A25E4C"/>
    <w:rsid w:val="00A25EF2"/>
    <w:rsid w:val="00A26013"/>
    <w:rsid w:val="00A260F0"/>
    <w:rsid w:val="00A26202"/>
    <w:rsid w:val="00A262C8"/>
    <w:rsid w:val="00A264F8"/>
    <w:rsid w:val="00A266EB"/>
    <w:rsid w:val="00A26763"/>
    <w:rsid w:val="00A2695F"/>
    <w:rsid w:val="00A26A04"/>
    <w:rsid w:val="00A27093"/>
    <w:rsid w:val="00A270A7"/>
    <w:rsid w:val="00A271B0"/>
    <w:rsid w:val="00A27385"/>
    <w:rsid w:val="00A275A0"/>
    <w:rsid w:val="00A27608"/>
    <w:rsid w:val="00A276B6"/>
    <w:rsid w:val="00A2770D"/>
    <w:rsid w:val="00A2778C"/>
    <w:rsid w:val="00A2780A"/>
    <w:rsid w:val="00A279AB"/>
    <w:rsid w:val="00A27BEE"/>
    <w:rsid w:val="00A27E23"/>
    <w:rsid w:val="00A30430"/>
    <w:rsid w:val="00A30574"/>
    <w:rsid w:val="00A30707"/>
    <w:rsid w:val="00A307A2"/>
    <w:rsid w:val="00A30AC3"/>
    <w:rsid w:val="00A30AE5"/>
    <w:rsid w:val="00A30D41"/>
    <w:rsid w:val="00A30E8A"/>
    <w:rsid w:val="00A3101E"/>
    <w:rsid w:val="00A31456"/>
    <w:rsid w:val="00A315EA"/>
    <w:rsid w:val="00A31946"/>
    <w:rsid w:val="00A319A0"/>
    <w:rsid w:val="00A319ED"/>
    <w:rsid w:val="00A31A38"/>
    <w:rsid w:val="00A31A39"/>
    <w:rsid w:val="00A31AF3"/>
    <w:rsid w:val="00A31BDB"/>
    <w:rsid w:val="00A31D0F"/>
    <w:rsid w:val="00A31EEF"/>
    <w:rsid w:val="00A31F79"/>
    <w:rsid w:val="00A32104"/>
    <w:rsid w:val="00A321E8"/>
    <w:rsid w:val="00A32306"/>
    <w:rsid w:val="00A3251C"/>
    <w:rsid w:val="00A32521"/>
    <w:rsid w:val="00A32620"/>
    <w:rsid w:val="00A329EF"/>
    <w:rsid w:val="00A32ABC"/>
    <w:rsid w:val="00A32C3A"/>
    <w:rsid w:val="00A32FF7"/>
    <w:rsid w:val="00A32FFD"/>
    <w:rsid w:val="00A332F7"/>
    <w:rsid w:val="00A33425"/>
    <w:rsid w:val="00A33683"/>
    <w:rsid w:val="00A337A9"/>
    <w:rsid w:val="00A337D0"/>
    <w:rsid w:val="00A33831"/>
    <w:rsid w:val="00A33C92"/>
    <w:rsid w:val="00A33F10"/>
    <w:rsid w:val="00A34263"/>
    <w:rsid w:val="00A342E6"/>
    <w:rsid w:val="00A34395"/>
    <w:rsid w:val="00A34495"/>
    <w:rsid w:val="00A345B8"/>
    <w:rsid w:val="00A34779"/>
    <w:rsid w:val="00A347DB"/>
    <w:rsid w:val="00A3492C"/>
    <w:rsid w:val="00A34ABA"/>
    <w:rsid w:val="00A34ADE"/>
    <w:rsid w:val="00A34B9F"/>
    <w:rsid w:val="00A34CE5"/>
    <w:rsid w:val="00A34CF3"/>
    <w:rsid w:val="00A34DA2"/>
    <w:rsid w:val="00A34F5D"/>
    <w:rsid w:val="00A3500E"/>
    <w:rsid w:val="00A35104"/>
    <w:rsid w:val="00A35389"/>
    <w:rsid w:val="00A357C1"/>
    <w:rsid w:val="00A357FE"/>
    <w:rsid w:val="00A35925"/>
    <w:rsid w:val="00A3599B"/>
    <w:rsid w:val="00A35AF4"/>
    <w:rsid w:val="00A35BB2"/>
    <w:rsid w:val="00A35D74"/>
    <w:rsid w:val="00A35D89"/>
    <w:rsid w:val="00A35E70"/>
    <w:rsid w:val="00A35ED7"/>
    <w:rsid w:val="00A35FEE"/>
    <w:rsid w:val="00A35FF7"/>
    <w:rsid w:val="00A3620F"/>
    <w:rsid w:val="00A36306"/>
    <w:rsid w:val="00A36380"/>
    <w:rsid w:val="00A3642B"/>
    <w:rsid w:val="00A36548"/>
    <w:rsid w:val="00A365D8"/>
    <w:rsid w:val="00A365FA"/>
    <w:rsid w:val="00A36702"/>
    <w:rsid w:val="00A36888"/>
    <w:rsid w:val="00A368E7"/>
    <w:rsid w:val="00A3696D"/>
    <w:rsid w:val="00A36CA0"/>
    <w:rsid w:val="00A36DB4"/>
    <w:rsid w:val="00A36E53"/>
    <w:rsid w:val="00A36ED2"/>
    <w:rsid w:val="00A37039"/>
    <w:rsid w:val="00A3705F"/>
    <w:rsid w:val="00A373C2"/>
    <w:rsid w:val="00A373CB"/>
    <w:rsid w:val="00A37499"/>
    <w:rsid w:val="00A37738"/>
    <w:rsid w:val="00A37801"/>
    <w:rsid w:val="00A37813"/>
    <w:rsid w:val="00A37864"/>
    <w:rsid w:val="00A37A10"/>
    <w:rsid w:val="00A37A35"/>
    <w:rsid w:val="00A37B09"/>
    <w:rsid w:val="00A37F25"/>
    <w:rsid w:val="00A37F93"/>
    <w:rsid w:val="00A4035B"/>
    <w:rsid w:val="00A40399"/>
    <w:rsid w:val="00A40941"/>
    <w:rsid w:val="00A40BC6"/>
    <w:rsid w:val="00A40CA0"/>
    <w:rsid w:val="00A40F21"/>
    <w:rsid w:val="00A40F26"/>
    <w:rsid w:val="00A4103E"/>
    <w:rsid w:val="00A411E5"/>
    <w:rsid w:val="00A4133A"/>
    <w:rsid w:val="00A41351"/>
    <w:rsid w:val="00A4149E"/>
    <w:rsid w:val="00A414DD"/>
    <w:rsid w:val="00A414FB"/>
    <w:rsid w:val="00A415BD"/>
    <w:rsid w:val="00A415E1"/>
    <w:rsid w:val="00A417EA"/>
    <w:rsid w:val="00A4180C"/>
    <w:rsid w:val="00A4190A"/>
    <w:rsid w:val="00A41AB2"/>
    <w:rsid w:val="00A41E5F"/>
    <w:rsid w:val="00A41E89"/>
    <w:rsid w:val="00A41EBE"/>
    <w:rsid w:val="00A420EA"/>
    <w:rsid w:val="00A4225F"/>
    <w:rsid w:val="00A422C3"/>
    <w:rsid w:val="00A422DC"/>
    <w:rsid w:val="00A422E1"/>
    <w:rsid w:val="00A4235A"/>
    <w:rsid w:val="00A42439"/>
    <w:rsid w:val="00A42589"/>
    <w:rsid w:val="00A425C9"/>
    <w:rsid w:val="00A425DC"/>
    <w:rsid w:val="00A4278A"/>
    <w:rsid w:val="00A428F8"/>
    <w:rsid w:val="00A42A60"/>
    <w:rsid w:val="00A42AF5"/>
    <w:rsid w:val="00A42B90"/>
    <w:rsid w:val="00A43081"/>
    <w:rsid w:val="00A431FE"/>
    <w:rsid w:val="00A432BB"/>
    <w:rsid w:val="00A4335C"/>
    <w:rsid w:val="00A4361D"/>
    <w:rsid w:val="00A43701"/>
    <w:rsid w:val="00A43861"/>
    <w:rsid w:val="00A43ACA"/>
    <w:rsid w:val="00A43EFE"/>
    <w:rsid w:val="00A43F22"/>
    <w:rsid w:val="00A441A7"/>
    <w:rsid w:val="00A4428C"/>
    <w:rsid w:val="00A442C0"/>
    <w:rsid w:val="00A4435E"/>
    <w:rsid w:val="00A44416"/>
    <w:rsid w:val="00A444C4"/>
    <w:rsid w:val="00A4486E"/>
    <w:rsid w:val="00A448EA"/>
    <w:rsid w:val="00A44B4A"/>
    <w:rsid w:val="00A44CAC"/>
    <w:rsid w:val="00A44EC6"/>
    <w:rsid w:val="00A44EE1"/>
    <w:rsid w:val="00A45027"/>
    <w:rsid w:val="00A452C5"/>
    <w:rsid w:val="00A456E7"/>
    <w:rsid w:val="00A4574F"/>
    <w:rsid w:val="00A45821"/>
    <w:rsid w:val="00A45922"/>
    <w:rsid w:val="00A45A4B"/>
    <w:rsid w:val="00A46041"/>
    <w:rsid w:val="00A461D5"/>
    <w:rsid w:val="00A46205"/>
    <w:rsid w:val="00A46231"/>
    <w:rsid w:val="00A462E6"/>
    <w:rsid w:val="00A46483"/>
    <w:rsid w:val="00A46564"/>
    <w:rsid w:val="00A465F4"/>
    <w:rsid w:val="00A46668"/>
    <w:rsid w:val="00A466A9"/>
    <w:rsid w:val="00A46806"/>
    <w:rsid w:val="00A46A95"/>
    <w:rsid w:val="00A46CA0"/>
    <w:rsid w:val="00A474B2"/>
    <w:rsid w:val="00A474F9"/>
    <w:rsid w:val="00A4781E"/>
    <w:rsid w:val="00A4795B"/>
    <w:rsid w:val="00A47C36"/>
    <w:rsid w:val="00A47C51"/>
    <w:rsid w:val="00A47DC2"/>
    <w:rsid w:val="00A500B2"/>
    <w:rsid w:val="00A50169"/>
    <w:rsid w:val="00A50327"/>
    <w:rsid w:val="00A50531"/>
    <w:rsid w:val="00A505D1"/>
    <w:rsid w:val="00A507B5"/>
    <w:rsid w:val="00A509CC"/>
    <w:rsid w:val="00A50B98"/>
    <w:rsid w:val="00A50BCD"/>
    <w:rsid w:val="00A50DB3"/>
    <w:rsid w:val="00A50E5B"/>
    <w:rsid w:val="00A50F96"/>
    <w:rsid w:val="00A51014"/>
    <w:rsid w:val="00A5126F"/>
    <w:rsid w:val="00A5136A"/>
    <w:rsid w:val="00A51560"/>
    <w:rsid w:val="00A5171A"/>
    <w:rsid w:val="00A517B7"/>
    <w:rsid w:val="00A51827"/>
    <w:rsid w:val="00A518F3"/>
    <w:rsid w:val="00A51C0A"/>
    <w:rsid w:val="00A51D0D"/>
    <w:rsid w:val="00A51D8A"/>
    <w:rsid w:val="00A51E66"/>
    <w:rsid w:val="00A5201F"/>
    <w:rsid w:val="00A522B4"/>
    <w:rsid w:val="00A52307"/>
    <w:rsid w:val="00A52315"/>
    <w:rsid w:val="00A523A5"/>
    <w:rsid w:val="00A52481"/>
    <w:rsid w:val="00A52487"/>
    <w:rsid w:val="00A524D1"/>
    <w:rsid w:val="00A52513"/>
    <w:rsid w:val="00A52534"/>
    <w:rsid w:val="00A527C3"/>
    <w:rsid w:val="00A52990"/>
    <w:rsid w:val="00A52C5D"/>
    <w:rsid w:val="00A52D76"/>
    <w:rsid w:val="00A5301B"/>
    <w:rsid w:val="00A53480"/>
    <w:rsid w:val="00A535A1"/>
    <w:rsid w:val="00A53639"/>
    <w:rsid w:val="00A5380D"/>
    <w:rsid w:val="00A53C2C"/>
    <w:rsid w:val="00A53F5A"/>
    <w:rsid w:val="00A53FDB"/>
    <w:rsid w:val="00A5418F"/>
    <w:rsid w:val="00A54363"/>
    <w:rsid w:val="00A543D0"/>
    <w:rsid w:val="00A546D4"/>
    <w:rsid w:val="00A54A43"/>
    <w:rsid w:val="00A54B15"/>
    <w:rsid w:val="00A54B59"/>
    <w:rsid w:val="00A54BF3"/>
    <w:rsid w:val="00A54EFD"/>
    <w:rsid w:val="00A54FD9"/>
    <w:rsid w:val="00A5507E"/>
    <w:rsid w:val="00A550B9"/>
    <w:rsid w:val="00A55162"/>
    <w:rsid w:val="00A5516D"/>
    <w:rsid w:val="00A551F4"/>
    <w:rsid w:val="00A553EC"/>
    <w:rsid w:val="00A556FB"/>
    <w:rsid w:val="00A5579D"/>
    <w:rsid w:val="00A558A3"/>
    <w:rsid w:val="00A558B3"/>
    <w:rsid w:val="00A559D5"/>
    <w:rsid w:val="00A55A37"/>
    <w:rsid w:val="00A55A39"/>
    <w:rsid w:val="00A55F1F"/>
    <w:rsid w:val="00A55F7D"/>
    <w:rsid w:val="00A5611D"/>
    <w:rsid w:val="00A562A9"/>
    <w:rsid w:val="00A5633C"/>
    <w:rsid w:val="00A565CC"/>
    <w:rsid w:val="00A567CE"/>
    <w:rsid w:val="00A56856"/>
    <w:rsid w:val="00A56857"/>
    <w:rsid w:val="00A569AC"/>
    <w:rsid w:val="00A56A0E"/>
    <w:rsid w:val="00A56BBF"/>
    <w:rsid w:val="00A56C3A"/>
    <w:rsid w:val="00A56E6F"/>
    <w:rsid w:val="00A56F2D"/>
    <w:rsid w:val="00A56F50"/>
    <w:rsid w:val="00A57019"/>
    <w:rsid w:val="00A5703D"/>
    <w:rsid w:val="00A5720D"/>
    <w:rsid w:val="00A5729D"/>
    <w:rsid w:val="00A5763E"/>
    <w:rsid w:val="00A57700"/>
    <w:rsid w:val="00A577C6"/>
    <w:rsid w:val="00A577E9"/>
    <w:rsid w:val="00A5792B"/>
    <w:rsid w:val="00A579D4"/>
    <w:rsid w:val="00A57A58"/>
    <w:rsid w:val="00A57A92"/>
    <w:rsid w:val="00A57AAC"/>
    <w:rsid w:val="00A57B70"/>
    <w:rsid w:val="00A57EAE"/>
    <w:rsid w:val="00A57FC4"/>
    <w:rsid w:val="00A6028E"/>
    <w:rsid w:val="00A603A6"/>
    <w:rsid w:val="00A60560"/>
    <w:rsid w:val="00A605E5"/>
    <w:rsid w:val="00A60605"/>
    <w:rsid w:val="00A606AD"/>
    <w:rsid w:val="00A606B5"/>
    <w:rsid w:val="00A606EE"/>
    <w:rsid w:val="00A609B5"/>
    <w:rsid w:val="00A60AF6"/>
    <w:rsid w:val="00A60C28"/>
    <w:rsid w:val="00A60CC4"/>
    <w:rsid w:val="00A6125E"/>
    <w:rsid w:val="00A612DD"/>
    <w:rsid w:val="00A61328"/>
    <w:rsid w:val="00A61457"/>
    <w:rsid w:val="00A61465"/>
    <w:rsid w:val="00A614EC"/>
    <w:rsid w:val="00A61577"/>
    <w:rsid w:val="00A617DC"/>
    <w:rsid w:val="00A6181C"/>
    <w:rsid w:val="00A618E5"/>
    <w:rsid w:val="00A61B5B"/>
    <w:rsid w:val="00A61EBC"/>
    <w:rsid w:val="00A61FC3"/>
    <w:rsid w:val="00A6211F"/>
    <w:rsid w:val="00A6224E"/>
    <w:rsid w:val="00A622A7"/>
    <w:rsid w:val="00A622E6"/>
    <w:rsid w:val="00A6275C"/>
    <w:rsid w:val="00A62B38"/>
    <w:rsid w:val="00A62BFB"/>
    <w:rsid w:val="00A62CC9"/>
    <w:rsid w:val="00A62CD7"/>
    <w:rsid w:val="00A62D61"/>
    <w:rsid w:val="00A62ED3"/>
    <w:rsid w:val="00A62FE3"/>
    <w:rsid w:val="00A63228"/>
    <w:rsid w:val="00A6323E"/>
    <w:rsid w:val="00A6332C"/>
    <w:rsid w:val="00A63385"/>
    <w:rsid w:val="00A633E4"/>
    <w:rsid w:val="00A634A0"/>
    <w:rsid w:val="00A634C9"/>
    <w:rsid w:val="00A63594"/>
    <w:rsid w:val="00A63619"/>
    <w:rsid w:val="00A63783"/>
    <w:rsid w:val="00A63795"/>
    <w:rsid w:val="00A63897"/>
    <w:rsid w:val="00A638E4"/>
    <w:rsid w:val="00A63917"/>
    <w:rsid w:val="00A63918"/>
    <w:rsid w:val="00A63A77"/>
    <w:rsid w:val="00A63EB0"/>
    <w:rsid w:val="00A63EBA"/>
    <w:rsid w:val="00A63EEF"/>
    <w:rsid w:val="00A6405E"/>
    <w:rsid w:val="00A6437E"/>
    <w:rsid w:val="00A643C3"/>
    <w:rsid w:val="00A64517"/>
    <w:rsid w:val="00A64532"/>
    <w:rsid w:val="00A64540"/>
    <w:rsid w:val="00A64554"/>
    <w:rsid w:val="00A64649"/>
    <w:rsid w:val="00A648E1"/>
    <w:rsid w:val="00A648ED"/>
    <w:rsid w:val="00A64935"/>
    <w:rsid w:val="00A64989"/>
    <w:rsid w:val="00A64D1C"/>
    <w:rsid w:val="00A64D5D"/>
    <w:rsid w:val="00A64F9E"/>
    <w:rsid w:val="00A651E4"/>
    <w:rsid w:val="00A6521E"/>
    <w:rsid w:val="00A6528A"/>
    <w:rsid w:val="00A65757"/>
    <w:rsid w:val="00A658AA"/>
    <w:rsid w:val="00A65CA5"/>
    <w:rsid w:val="00A65E90"/>
    <w:rsid w:val="00A66032"/>
    <w:rsid w:val="00A662A0"/>
    <w:rsid w:val="00A66359"/>
    <w:rsid w:val="00A66422"/>
    <w:rsid w:val="00A66513"/>
    <w:rsid w:val="00A665B2"/>
    <w:rsid w:val="00A66689"/>
    <w:rsid w:val="00A66832"/>
    <w:rsid w:val="00A66889"/>
    <w:rsid w:val="00A669D6"/>
    <w:rsid w:val="00A66D66"/>
    <w:rsid w:val="00A66D82"/>
    <w:rsid w:val="00A66E2C"/>
    <w:rsid w:val="00A67175"/>
    <w:rsid w:val="00A6717A"/>
    <w:rsid w:val="00A6734C"/>
    <w:rsid w:val="00A67371"/>
    <w:rsid w:val="00A67659"/>
    <w:rsid w:val="00A677C5"/>
    <w:rsid w:val="00A677C7"/>
    <w:rsid w:val="00A67A15"/>
    <w:rsid w:val="00A67B1D"/>
    <w:rsid w:val="00A67F9E"/>
    <w:rsid w:val="00A70081"/>
    <w:rsid w:val="00A700A9"/>
    <w:rsid w:val="00A70199"/>
    <w:rsid w:val="00A705E4"/>
    <w:rsid w:val="00A70A0C"/>
    <w:rsid w:val="00A70BBC"/>
    <w:rsid w:val="00A70BC8"/>
    <w:rsid w:val="00A70C0D"/>
    <w:rsid w:val="00A70E6D"/>
    <w:rsid w:val="00A70F71"/>
    <w:rsid w:val="00A711EF"/>
    <w:rsid w:val="00A715FD"/>
    <w:rsid w:val="00A71813"/>
    <w:rsid w:val="00A71A23"/>
    <w:rsid w:val="00A71B64"/>
    <w:rsid w:val="00A71BB3"/>
    <w:rsid w:val="00A71CD0"/>
    <w:rsid w:val="00A71E8C"/>
    <w:rsid w:val="00A71F50"/>
    <w:rsid w:val="00A72017"/>
    <w:rsid w:val="00A725CF"/>
    <w:rsid w:val="00A726B5"/>
    <w:rsid w:val="00A7271E"/>
    <w:rsid w:val="00A727BE"/>
    <w:rsid w:val="00A7289A"/>
    <w:rsid w:val="00A72BB2"/>
    <w:rsid w:val="00A72C21"/>
    <w:rsid w:val="00A72C5F"/>
    <w:rsid w:val="00A73124"/>
    <w:rsid w:val="00A73475"/>
    <w:rsid w:val="00A73488"/>
    <w:rsid w:val="00A7361F"/>
    <w:rsid w:val="00A737AC"/>
    <w:rsid w:val="00A73881"/>
    <w:rsid w:val="00A739CF"/>
    <w:rsid w:val="00A73A4C"/>
    <w:rsid w:val="00A73B08"/>
    <w:rsid w:val="00A73B7A"/>
    <w:rsid w:val="00A73C1F"/>
    <w:rsid w:val="00A73C28"/>
    <w:rsid w:val="00A73EED"/>
    <w:rsid w:val="00A74284"/>
    <w:rsid w:val="00A74660"/>
    <w:rsid w:val="00A74AD9"/>
    <w:rsid w:val="00A74CAC"/>
    <w:rsid w:val="00A74F13"/>
    <w:rsid w:val="00A74F71"/>
    <w:rsid w:val="00A7502A"/>
    <w:rsid w:val="00A750AC"/>
    <w:rsid w:val="00A7512A"/>
    <w:rsid w:val="00A75151"/>
    <w:rsid w:val="00A75297"/>
    <w:rsid w:val="00A752D6"/>
    <w:rsid w:val="00A75344"/>
    <w:rsid w:val="00A7545D"/>
    <w:rsid w:val="00A75579"/>
    <w:rsid w:val="00A75634"/>
    <w:rsid w:val="00A756F3"/>
    <w:rsid w:val="00A75806"/>
    <w:rsid w:val="00A75969"/>
    <w:rsid w:val="00A75A3B"/>
    <w:rsid w:val="00A75AE1"/>
    <w:rsid w:val="00A75EE4"/>
    <w:rsid w:val="00A75EEF"/>
    <w:rsid w:val="00A76058"/>
    <w:rsid w:val="00A76209"/>
    <w:rsid w:val="00A76438"/>
    <w:rsid w:val="00A765A2"/>
    <w:rsid w:val="00A7662A"/>
    <w:rsid w:val="00A76C50"/>
    <w:rsid w:val="00A76DB6"/>
    <w:rsid w:val="00A7708E"/>
    <w:rsid w:val="00A7710C"/>
    <w:rsid w:val="00A77391"/>
    <w:rsid w:val="00A7789E"/>
    <w:rsid w:val="00A77C61"/>
    <w:rsid w:val="00A77C93"/>
    <w:rsid w:val="00A77EEE"/>
    <w:rsid w:val="00A80234"/>
    <w:rsid w:val="00A802F3"/>
    <w:rsid w:val="00A80482"/>
    <w:rsid w:val="00A80529"/>
    <w:rsid w:val="00A80AD6"/>
    <w:rsid w:val="00A80C7D"/>
    <w:rsid w:val="00A80E23"/>
    <w:rsid w:val="00A80F0D"/>
    <w:rsid w:val="00A81012"/>
    <w:rsid w:val="00A81116"/>
    <w:rsid w:val="00A81225"/>
    <w:rsid w:val="00A8125C"/>
    <w:rsid w:val="00A8129A"/>
    <w:rsid w:val="00A812F0"/>
    <w:rsid w:val="00A814BF"/>
    <w:rsid w:val="00A814E2"/>
    <w:rsid w:val="00A81775"/>
    <w:rsid w:val="00A8182E"/>
    <w:rsid w:val="00A8184B"/>
    <w:rsid w:val="00A819DB"/>
    <w:rsid w:val="00A81AEF"/>
    <w:rsid w:val="00A81B0A"/>
    <w:rsid w:val="00A81BA1"/>
    <w:rsid w:val="00A81CB6"/>
    <w:rsid w:val="00A81E84"/>
    <w:rsid w:val="00A820F8"/>
    <w:rsid w:val="00A821F6"/>
    <w:rsid w:val="00A822E7"/>
    <w:rsid w:val="00A824B5"/>
    <w:rsid w:val="00A82517"/>
    <w:rsid w:val="00A82848"/>
    <w:rsid w:val="00A82851"/>
    <w:rsid w:val="00A829EE"/>
    <w:rsid w:val="00A82B7F"/>
    <w:rsid w:val="00A82D55"/>
    <w:rsid w:val="00A82EEE"/>
    <w:rsid w:val="00A82F06"/>
    <w:rsid w:val="00A82F26"/>
    <w:rsid w:val="00A830A0"/>
    <w:rsid w:val="00A83342"/>
    <w:rsid w:val="00A836D4"/>
    <w:rsid w:val="00A83776"/>
    <w:rsid w:val="00A83811"/>
    <w:rsid w:val="00A8388A"/>
    <w:rsid w:val="00A83A8C"/>
    <w:rsid w:val="00A83B5F"/>
    <w:rsid w:val="00A83C18"/>
    <w:rsid w:val="00A83C5C"/>
    <w:rsid w:val="00A83E0E"/>
    <w:rsid w:val="00A84109"/>
    <w:rsid w:val="00A84330"/>
    <w:rsid w:val="00A84406"/>
    <w:rsid w:val="00A84497"/>
    <w:rsid w:val="00A845A8"/>
    <w:rsid w:val="00A8496C"/>
    <w:rsid w:val="00A84A3A"/>
    <w:rsid w:val="00A84CE6"/>
    <w:rsid w:val="00A84FCC"/>
    <w:rsid w:val="00A8512A"/>
    <w:rsid w:val="00A851EF"/>
    <w:rsid w:val="00A85412"/>
    <w:rsid w:val="00A85486"/>
    <w:rsid w:val="00A854D1"/>
    <w:rsid w:val="00A85679"/>
    <w:rsid w:val="00A856B8"/>
    <w:rsid w:val="00A85843"/>
    <w:rsid w:val="00A85BF8"/>
    <w:rsid w:val="00A85D3F"/>
    <w:rsid w:val="00A85DC1"/>
    <w:rsid w:val="00A85E8B"/>
    <w:rsid w:val="00A85FEE"/>
    <w:rsid w:val="00A860EB"/>
    <w:rsid w:val="00A861A7"/>
    <w:rsid w:val="00A86305"/>
    <w:rsid w:val="00A86384"/>
    <w:rsid w:val="00A86595"/>
    <w:rsid w:val="00A865DC"/>
    <w:rsid w:val="00A8664C"/>
    <w:rsid w:val="00A86A01"/>
    <w:rsid w:val="00A86A37"/>
    <w:rsid w:val="00A86B5A"/>
    <w:rsid w:val="00A8701E"/>
    <w:rsid w:val="00A87046"/>
    <w:rsid w:val="00A870E1"/>
    <w:rsid w:val="00A8725C"/>
    <w:rsid w:val="00A873DF"/>
    <w:rsid w:val="00A874B9"/>
    <w:rsid w:val="00A876B5"/>
    <w:rsid w:val="00A87A4C"/>
    <w:rsid w:val="00A87BAE"/>
    <w:rsid w:val="00A87C24"/>
    <w:rsid w:val="00A87CBE"/>
    <w:rsid w:val="00A87D2D"/>
    <w:rsid w:val="00A87D64"/>
    <w:rsid w:val="00A87F5F"/>
    <w:rsid w:val="00A900CD"/>
    <w:rsid w:val="00A9012F"/>
    <w:rsid w:val="00A90261"/>
    <w:rsid w:val="00A90310"/>
    <w:rsid w:val="00A90650"/>
    <w:rsid w:val="00A90701"/>
    <w:rsid w:val="00A90A6C"/>
    <w:rsid w:val="00A90B1B"/>
    <w:rsid w:val="00A90B36"/>
    <w:rsid w:val="00A90C20"/>
    <w:rsid w:val="00A90DB8"/>
    <w:rsid w:val="00A90DE2"/>
    <w:rsid w:val="00A91059"/>
    <w:rsid w:val="00A9123C"/>
    <w:rsid w:val="00A913EF"/>
    <w:rsid w:val="00A91488"/>
    <w:rsid w:val="00A916CE"/>
    <w:rsid w:val="00A919BB"/>
    <w:rsid w:val="00A91BEC"/>
    <w:rsid w:val="00A91D40"/>
    <w:rsid w:val="00A91DB5"/>
    <w:rsid w:val="00A91E4C"/>
    <w:rsid w:val="00A91F96"/>
    <w:rsid w:val="00A92333"/>
    <w:rsid w:val="00A92361"/>
    <w:rsid w:val="00A9243F"/>
    <w:rsid w:val="00A92A2C"/>
    <w:rsid w:val="00A92A4E"/>
    <w:rsid w:val="00A92AFB"/>
    <w:rsid w:val="00A92C40"/>
    <w:rsid w:val="00A92D02"/>
    <w:rsid w:val="00A92FF2"/>
    <w:rsid w:val="00A9302C"/>
    <w:rsid w:val="00A932A2"/>
    <w:rsid w:val="00A9337E"/>
    <w:rsid w:val="00A933A5"/>
    <w:rsid w:val="00A935D3"/>
    <w:rsid w:val="00A9380F"/>
    <w:rsid w:val="00A938E2"/>
    <w:rsid w:val="00A93B0F"/>
    <w:rsid w:val="00A93B11"/>
    <w:rsid w:val="00A93C34"/>
    <w:rsid w:val="00A93DCF"/>
    <w:rsid w:val="00A93E9B"/>
    <w:rsid w:val="00A93ECB"/>
    <w:rsid w:val="00A943C9"/>
    <w:rsid w:val="00A944EB"/>
    <w:rsid w:val="00A945D3"/>
    <w:rsid w:val="00A9469F"/>
    <w:rsid w:val="00A94966"/>
    <w:rsid w:val="00A949E9"/>
    <w:rsid w:val="00A94B26"/>
    <w:rsid w:val="00A94B36"/>
    <w:rsid w:val="00A94BE5"/>
    <w:rsid w:val="00A94C24"/>
    <w:rsid w:val="00A94C4C"/>
    <w:rsid w:val="00A94DA9"/>
    <w:rsid w:val="00A950D2"/>
    <w:rsid w:val="00A9530F"/>
    <w:rsid w:val="00A95464"/>
    <w:rsid w:val="00A9549C"/>
    <w:rsid w:val="00A9593F"/>
    <w:rsid w:val="00A959F9"/>
    <w:rsid w:val="00A95A1E"/>
    <w:rsid w:val="00A95A66"/>
    <w:rsid w:val="00A95A68"/>
    <w:rsid w:val="00A95C33"/>
    <w:rsid w:val="00A95E3E"/>
    <w:rsid w:val="00A963F2"/>
    <w:rsid w:val="00A96460"/>
    <w:rsid w:val="00A964C3"/>
    <w:rsid w:val="00A966AC"/>
    <w:rsid w:val="00A9672D"/>
    <w:rsid w:val="00A967E6"/>
    <w:rsid w:val="00A96892"/>
    <w:rsid w:val="00A9692A"/>
    <w:rsid w:val="00A96945"/>
    <w:rsid w:val="00A96D49"/>
    <w:rsid w:val="00A96DAE"/>
    <w:rsid w:val="00A96EA2"/>
    <w:rsid w:val="00A96F38"/>
    <w:rsid w:val="00A972E6"/>
    <w:rsid w:val="00A974A9"/>
    <w:rsid w:val="00A974BA"/>
    <w:rsid w:val="00A974EB"/>
    <w:rsid w:val="00A975C3"/>
    <w:rsid w:val="00A976DA"/>
    <w:rsid w:val="00A9773A"/>
    <w:rsid w:val="00A9785E"/>
    <w:rsid w:val="00A9793F"/>
    <w:rsid w:val="00A97A09"/>
    <w:rsid w:val="00A97AC9"/>
    <w:rsid w:val="00AA013F"/>
    <w:rsid w:val="00AA052A"/>
    <w:rsid w:val="00AA0555"/>
    <w:rsid w:val="00AA0676"/>
    <w:rsid w:val="00AA067A"/>
    <w:rsid w:val="00AA0AC7"/>
    <w:rsid w:val="00AA0AFE"/>
    <w:rsid w:val="00AA0B22"/>
    <w:rsid w:val="00AA0BAF"/>
    <w:rsid w:val="00AA0C2F"/>
    <w:rsid w:val="00AA0C44"/>
    <w:rsid w:val="00AA0C97"/>
    <w:rsid w:val="00AA0CD1"/>
    <w:rsid w:val="00AA0F58"/>
    <w:rsid w:val="00AA1055"/>
    <w:rsid w:val="00AA13F5"/>
    <w:rsid w:val="00AA1445"/>
    <w:rsid w:val="00AA1624"/>
    <w:rsid w:val="00AA1983"/>
    <w:rsid w:val="00AA1CEC"/>
    <w:rsid w:val="00AA1EDE"/>
    <w:rsid w:val="00AA20BB"/>
    <w:rsid w:val="00AA20EF"/>
    <w:rsid w:val="00AA223C"/>
    <w:rsid w:val="00AA2286"/>
    <w:rsid w:val="00AA23B9"/>
    <w:rsid w:val="00AA2AF0"/>
    <w:rsid w:val="00AA2E4C"/>
    <w:rsid w:val="00AA2E9B"/>
    <w:rsid w:val="00AA2EB1"/>
    <w:rsid w:val="00AA304A"/>
    <w:rsid w:val="00AA3137"/>
    <w:rsid w:val="00AA33DC"/>
    <w:rsid w:val="00AA3673"/>
    <w:rsid w:val="00AA36FA"/>
    <w:rsid w:val="00AA39B8"/>
    <w:rsid w:val="00AA3A60"/>
    <w:rsid w:val="00AA3B48"/>
    <w:rsid w:val="00AA3BF3"/>
    <w:rsid w:val="00AA3C3C"/>
    <w:rsid w:val="00AA4045"/>
    <w:rsid w:val="00AA43B4"/>
    <w:rsid w:val="00AA460D"/>
    <w:rsid w:val="00AA4A8F"/>
    <w:rsid w:val="00AA4B0C"/>
    <w:rsid w:val="00AA4BE6"/>
    <w:rsid w:val="00AA4C8D"/>
    <w:rsid w:val="00AA4DA7"/>
    <w:rsid w:val="00AA4E94"/>
    <w:rsid w:val="00AA508C"/>
    <w:rsid w:val="00AA5297"/>
    <w:rsid w:val="00AA53A4"/>
    <w:rsid w:val="00AA53A8"/>
    <w:rsid w:val="00AA53EB"/>
    <w:rsid w:val="00AA55A5"/>
    <w:rsid w:val="00AA55D5"/>
    <w:rsid w:val="00AA5880"/>
    <w:rsid w:val="00AA5AA1"/>
    <w:rsid w:val="00AA5BA5"/>
    <w:rsid w:val="00AA5DDE"/>
    <w:rsid w:val="00AA5FA4"/>
    <w:rsid w:val="00AA6228"/>
    <w:rsid w:val="00AA6475"/>
    <w:rsid w:val="00AA64BA"/>
    <w:rsid w:val="00AA660E"/>
    <w:rsid w:val="00AA6638"/>
    <w:rsid w:val="00AA6A48"/>
    <w:rsid w:val="00AA6AD8"/>
    <w:rsid w:val="00AA6BFF"/>
    <w:rsid w:val="00AA6C54"/>
    <w:rsid w:val="00AA6ECD"/>
    <w:rsid w:val="00AA6EE6"/>
    <w:rsid w:val="00AA70D8"/>
    <w:rsid w:val="00AA7193"/>
    <w:rsid w:val="00AA7303"/>
    <w:rsid w:val="00AA74AD"/>
    <w:rsid w:val="00AA7506"/>
    <w:rsid w:val="00AA7C15"/>
    <w:rsid w:val="00AA7DA8"/>
    <w:rsid w:val="00AA7F4A"/>
    <w:rsid w:val="00AB0008"/>
    <w:rsid w:val="00AB005F"/>
    <w:rsid w:val="00AB0174"/>
    <w:rsid w:val="00AB01BB"/>
    <w:rsid w:val="00AB033D"/>
    <w:rsid w:val="00AB0558"/>
    <w:rsid w:val="00AB06D0"/>
    <w:rsid w:val="00AB070E"/>
    <w:rsid w:val="00AB0806"/>
    <w:rsid w:val="00AB0C0E"/>
    <w:rsid w:val="00AB0CE5"/>
    <w:rsid w:val="00AB0E83"/>
    <w:rsid w:val="00AB0FCD"/>
    <w:rsid w:val="00AB1051"/>
    <w:rsid w:val="00AB10F8"/>
    <w:rsid w:val="00AB10FB"/>
    <w:rsid w:val="00AB167D"/>
    <w:rsid w:val="00AB178A"/>
    <w:rsid w:val="00AB1C33"/>
    <w:rsid w:val="00AB1CF7"/>
    <w:rsid w:val="00AB1DEA"/>
    <w:rsid w:val="00AB1E2C"/>
    <w:rsid w:val="00AB200B"/>
    <w:rsid w:val="00AB227A"/>
    <w:rsid w:val="00AB237F"/>
    <w:rsid w:val="00AB23CD"/>
    <w:rsid w:val="00AB24B9"/>
    <w:rsid w:val="00AB285F"/>
    <w:rsid w:val="00AB295A"/>
    <w:rsid w:val="00AB2B12"/>
    <w:rsid w:val="00AB2B4E"/>
    <w:rsid w:val="00AB2D83"/>
    <w:rsid w:val="00AB2E3A"/>
    <w:rsid w:val="00AB2F0A"/>
    <w:rsid w:val="00AB2FA1"/>
    <w:rsid w:val="00AB3075"/>
    <w:rsid w:val="00AB3322"/>
    <w:rsid w:val="00AB346B"/>
    <w:rsid w:val="00AB354F"/>
    <w:rsid w:val="00AB35AD"/>
    <w:rsid w:val="00AB37EB"/>
    <w:rsid w:val="00AB3A5C"/>
    <w:rsid w:val="00AB3A62"/>
    <w:rsid w:val="00AB3B26"/>
    <w:rsid w:val="00AB3C0E"/>
    <w:rsid w:val="00AB3DFB"/>
    <w:rsid w:val="00AB3F45"/>
    <w:rsid w:val="00AB4486"/>
    <w:rsid w:val="00AB4602"/>
    <w:rsid w:val="00AB470A"/>
    <w:rsid w:val="00AB47A6"/>
    <w:rsid w:val="00AB4938"/>
    <w:rsid w:val="00AB499E"/>
    <w:rsid w:val="00AB49B0"/>
    <w:rsid w:val="00AB4A81"/>
    <w:rsid w:val="00AB4C19"/>
    <w:rsid w:val="00AB4C48"/>
    <w:rsid w:val="00AB4C97"/>
    <w:rsid w:val="00AB4E06"/>
    <w:rsid w:val="00AB4E10"/>
    <w:rsid w:val="00AB4FD6"/>
    <w:rsid w:val="00AB50F1"/>
    <w:rsid w:val="00AB526F"/>
    <w:rsid w:val="00AB52D0"/>
    <w:rsid w:val="00AB53F5"/>
    <w:rsid w:val="00AB53FE"/>
    <w:rsid w:val="00AB549A"/>
    <w:rsid w:val="00AB54A1"/>
    <w:rsid w:val="00AB5623"/>
    <w:rsid w:val="00AB5667"/>
    <w:rsid w:val="00AB5733"/>
    <w:rsid w:val="00AB5743"/>
    <w:rsid w:val="00AB5A92"/>
    <w:rsid w:val="00AB5B78"/>
    <w:rsid w:val="00AB5BA5"/>
    <w:rsid w:val="00AB5C05"/>
    <w:rsid w:val="00AB5CFB"/>
    <w:rsid w:val="00AB5F53"/>
    <w:rsid w:val="00AB5F64"/>
    <w:rsid w:val="00AB6B2B"/>
    <w:rsid w:val="00AB6B2E"/>
    <w:rsid w:val="00AB6C96"/>
    <w:rsid w:val="00AB6D84"/>
    <w:rsid w:val="00AB6E09"/>
    <w:rsid w:val="00AB6E76"/>
    <w:rsid w:val="00AB6E8A"/>
    <w:rsid w:val="00AB6F58"/>
    <w:rsid w:val="00AB7020"/>
    <w:rsid w:val="00AB759F"/>
    <w:rsid w:val="00AB771D"/>
    <w:rsid w:val="00AB77DC"/>
    <w:rsid w:val="00AB7B0A"/>
    <w:rsid w:val="00AB7CF5"/>
    <w:rsid w:val="00AB7FAE"/>
    <w:rsid w:val="00AC014E"/>
    <w:rsid w:val="00AC0239"/>
    <w:rsid w:val="00AC033C"/>
    <w:rsid w:val="00AC047F"/>
    <w:rsid w:val="00AC06EB"/>
    <w:rsid w:val="00AC087D"/>
    <w:rsid w:val="00AC08CC"/>
    <w:rsid w:val="00AC0E4E"/>
    <w:rsid w:val="00AC0E8D"/>
    <w:rsid w:val="00AC10F7"/>
    <w:rsid w:val="00AC1184"/>
    <w:rsid w:val="00AC138F"/>
    <w:rsid w:val="00AC141A"/>
    <w:rsid w:val="00AC144D"/>
    <w:rsid w:val="00AC1595"/>
    <w:rsid w:val="00AC190C"/>
    <w:rsid w:val="00AC19D6"/>
    <w:rsid w:val="00AC1A4A"/>
    <w:rsid w:val="00AC1BC9"/>
    <w:rsid w:val="00AC1C45"/>
    <w:rsid w:val="00AC1D9E"/>
    <w:rsid w:val="00AC1EBA"/>
    <w:rsid w:val="00AC2061"/>
    <w:rsid w:val="00AC2073"/>
    <w:rsid w:val="00AC20A0"/>
    <w:rsid w:val="00AC20F1"/>
    <w:rsid w:val="00AC221F"/>
    <w:rsid w:val="00AC24A1"/>
    <w:rsid w:val="00AC24B0"/>
    <w:rsid w:val="00AC27D8"/>
    <w:rsid w:val="00AC2961"/>
    <w:rsid w:val="00AC2B67"/>
    <w:rsid w:val="00AC2D39"/>
    <w:rsid w:val="00AC2E01"/>
    <w:rsid w:val="00AC2E73"/>
    <w:rsid w:val="00AC2F5A"/>
    <w:rsid w:val="00AC2FFB"/>
    <w:rsid w:val="00AC3104"/>
    <w:rsid w:val="00AC31BA"/>
    <w:rsid w:val="00AC31F6"/>
    <w:rsid w:val="00AC3255"/>
    <w:rsid w:val="00AC3346"/>
    <w:rsid w:val="00AC3456"/>
    <w:rsid w:val="00AC35D2"/>
    <w:rsid w:val="00AC35EC"/>
    <w:rsid w:val="00AC362C"/>
    <w:rsid w:val="00AC36A6"/>
    <w:rsid w:val="00AC38AD"/>
    <w:rsid w:val="00AC391F"/>
    <w:rsid w:val="00AC3B25"/>
    <w:rsid w:val="00AC4022"/>
    <w:rsid w:val="00AC40E4"/>
    <w:rsid w:val="00AC44C6"/>
    <w:rsid w:val="00AC462F"/>
    <w:rsid w:val="00AC46E3"/>
    <w:rsid w:val="00AC49B5"/>
    <w:rsid w:val="00AC49FA"/>
    <w:rsid w:val="00AC4CB1"/>
    <w:rsid w:val="00AC4CD8"/>
    <w:rsid w:val="00AC4F6A"/>
    <w:rsid w:val="00AC4F96"/>
    <w:rsid w:val="00AC4FA0"/>
    <w:rsid w:val="00AC5125"/>
    <w:rsid w:val="00AC5282"/>
    <w:rsid w:val="00AC5589"/>
    <w:rsid w:val="00AC591E"/>
    <w:rsid w:val="00AC5B7B"/>
    <w:rsid w:val="00AC5BEB"/>
    <w:rsid w:val="00AC5EAF"/>
    <w:rsid w:val="00AC5ECA"/>
    <w:rsid w:val="00AC5EDF"/>
    <w:rsid w:val="00AC5EF7"/>
    <w:rsid w:val="00AC603B"/>
    <w:rsid w:val="00AC606F"/>
    <w:rsid w:val="00AC6106"/>
    <w:rsid w:val="00AC6480"/>
    <w:rsid w:val="00AC64B6"/>
    <w:rsid w:val="00AC6538"/>
    <w:rsid w:val="00AC6553"/>
    <w:rsid w:val="00AC661F"/>
    <w:rsid w:val="00AC66E2"/>
    <w:rsid w:val="00AC6D1A"/>
    <w:rsid w:val="00AC6E00"/>
    <w:rsid w:val="00AC6F1C"/>
    <w:rsid w:val="00AC6F42"/>
    <w:rsid w:val="00AC700B"/>
    <w:rsid w:val="00AC7040"/>
    <w:rsid w:val="00AC722A"/>
    <w:rsid w:val="00AC7357"/>
    <w:rsid w:val="00AC73EE"/>
    <w:rsid w:val="00AC7546"/>
    <w:rsid w:val="00AC7730"/>
    <w:rsid w:val="00AC78B7"/>
    <w:rsid w:val="00AC7A33"/>
    <w:rsid w:val="00AC7A5F"/>
    <w:rsid w:val="00AC7ADA"/>
    <w:rsid w:val="00AC7DC8"/>
    <w:rsid w:val="00AC7FE0"/>
    <w:rsid w:val="00AD006B"/>
    <w:rsid w:val="00AD00DD"/>
    <w:rsid w:val="00AD0136"/>
    <w:rsid w:val="00AD0278"/>
    <w:rsid w:val="00AD02A9"/>
    <w:rsid w:val="00AD045A"/>
    <w:rsid w:val="00AD0480"/>
    <w:rsid w:val="00AD0A0D"/>
    <w:rsid w:val="00AD0D8B"/>
    <w:rsid w:val="00AD11B2"/>
    <w:rsid w:val="00AD14B4"/>
    <w:rsid w:val="00AD1756"/>
    <w:rsid w:val="00AD1768"/>
    <w:rsid w:val="00AD1A9D"/>
    <w:rsid w:val="00AD1B62"/>
    <w:rsid w:val="00AD1C46"/>
    <w:rsid w:val="00AD1D74"/>
    <w:rsid w:val="00AD1DF9"/>
    <w:rsid w:val="00AD1E6E"/>
    <w:rsid w:val="00AD229B"/>
    <w:rsid w:val="00AD23EB"/>
    <w:rsid w:val="00AD2527"/>
    <w:rsid w:val="00AD2968"/>
    <w:rsid w:val="00AD2A74"/>
    <w:rsid w:val="00AD2AE0"/>
    <w:rsid w:val="00AD2B3A"/>
    <w:rsid w:val="00AD2C4B"/>
    <w:rsid w:val="00AD2CEE"/>
    <w:rsid w:val="00AD2D1B"/>
    <w:rsid w:val="00AD2D38"/>
    <w:rsid w:val="00AD2D3C"/>
    <w:rsid w:val="00AD2D4B"/>
    <w:rsid w:val="00AD3277"/>
    <w:rsid w:val="00AD32A6"/>
    <w:rsid w:val="00AD331D"/>
    <w:rsid w:val="00AD3331"/>
    <w:rsid w:val="00AD3395"/>
    <w:rsid w:val="00AD3568"/>
    <w:rsid w:val="00AD3B23"/>
    <w:rsid w:val="00AD3BA5"/>
    <w:rsid w:val="00AD3E07"/>
    <w:rsid w:val="00AD3EED"/>
    <w:rsid w:val="00AD3F16"/>
    <w:rsid w:val="00AD4185"/>
    <w:rsid w:val="00AD4616"/>
    <w:rsid w:val="00AD4674"/>
    <w:rsid w:val="00AD46FC"/>
    <w:rsid w:val="00AD47E7"/>
    <w:rsid w:val="00AD4835"/>
    <w:rsid w:val="00AD49F8"/>
    <w:rsid w:val="00AD4B76"/>
    <w:rsid w:val="00AD4F42"/>
    <w:rsid w:val="00AD513F"/>
    <w:rsid w:val="00AD542F"/>
    <w:rsid w:val="00AD54C3"/>
    <w:rsid w:val="00AD55D3"/>
    <w:rsid w:val="00AD58A7"/>
    <w:rsid w:val="00AD5ABA"/>
    <w:rsid w:val="00AD5B43"/>
    <w:rsid w:val="00AD5D56"/>
    <w:rsid w:val="00AD5EE6"/>
    <w:rsid w:val="00AD5F3B"/>
    <w:rsid w:val="00AD618A"/>
    <w:rsid w:val="00AD62E9"/>
    <w:rsid w:val="00AD6364"/>
    <w:rsid w:val="00AD6592"/>
    <w:rsid w:val="00AD65C3"/>
    <w:rsid w:val="00AD65EB"/>
    <w:rsid w:val="00AD6B2A"/>
    <w:rsid w:val="00AD6C36"/>
    <w:rsid w:val="00AD6C7A"/>
    <w:rsid w:val="00AD6EFB"/>
    <w:rsid w:val="00AD70A8"/>
    <w:rsid w:val="00AD70E1"/>
    <w:rsid w:val="00AD7234"/>
    <w:rsid w:val="00AD73D7"/>
    <w:rsid w:val="00AD7555"/>
    <w:rsid w:val="00AD7919"/>
    <w:rsid w:val="00AD79B0"/>
    <w:rsid w:val="00AD7AA2"/>
    <w:rsid w:val="00AD7FB8"/>
    <w:rsid w:val="00AE05E4"/>
    <w:rsid w:val="00AE07CA"/>
    <w:rsid w:val="00AE086C"/>
    <w:rsid w:val="00AE0877"/>
    <w:rsid w:val="00AE08F7"/>
    <w:rsid w:val="00AE0E11"/>
    <w:rsid w:val="00AE0F9A"/>
    <w:rsid w:val="00AE0FE2"/>
    <w:rsid w:val="00AE10EE"/>
    <w:rsid w:val="00AE11DE"/>
    <w:rsid w:val="00AE1716"/>
    <w:rsid w:val="00AE17D5"/>
    <w:rsid w:val="00AE18F4"/>
    <w:rsid w:val="00AE1921"/>
    <w:rsid w:val="00AE1A9D"/>
    <w:rsid w:val="00AE1B0B"/>
    <w:rsid w:val="00AE1CE4"/>
    <w:rsid w:val="00AE1E1A"/>
    <w:rsid w:val="00AE1E2D"/>
    <w:rsid w:val="00AE1F33"/>
    <w:rsid w:val="00AE200E"/>
    <w:rsid w:val="00AE2135"/>
    <w:rsid w:val="00AE22C1"/>
    <w:rsid w:val="00AE2471"/>
    <w:rsid w:val="00AE29AA"/>
    <w:rsid w:val="00AE2A43"/>
    <w:rsid w:val="00AE2E69"/>
    <w:rsid w:val="00AE32EA"/>
    <w:rsid w:val="00AE3396"/>
    <w:rsid w:val="00AE3562"/>
    <w:rsid w:val="00AE3623"/>
    <w:rsid w:val="00AE381D"/>
    <w:rsid w:val="00AE38A3"/>
    <w:rsid w:val="00AE39CB"/>
    <w:rsid w:val="00AE3AAC"/>
    <w:rsid w:val="00AE3BD5"/>
    <w:rsid w:val="00AE3FEA"/>
    <w:rsid w:val="00AE417A"/>
    <w:rsid w:val="00AE41F8"/>
    <w:rsid w:val="00AE44F1"/>
    <w:rsid w:val="00AE45AF"/>
    <w:rsid w:val="00AE491B"/>
    <w:rsid w:val="00AE4982"/>
    <w:rsid w:val="00AE499B"/>
    <w:rsid w:val="00AE49C9"/>
    <w:rsid w:val="00AE4CF0"/>
    <w:rsid w:val="00AE4FAA"/>
    <w:rsid w:val="00AE5240"/>
    <w:rsid w:val="00AE53A7"/>
    <w:rsid w:val="00AE540B"/>
    <w:rsid w:val="00AE5695"/>
    <w:rsid w:val="00AE5825"/>
    <w:rsid w:val="00AE590A"/>
    <w:rsid w:val="00AE594C"/>
    <w:rsid w:val="00AE59F0"/>
    <w:rsid w:val="00AE5A81"/>
    <w:rsid w:val="00AE5F42"/>
    <w:rsid w:val="00AE5FDD"/>
    <w:rsid w:val="00AE600B"/>
    <w:rsid w:val="00AE600C"/>
    <w:rsid w:val="00AE62C7"/>
    <w:rsid w:val="00AE639B"/>
    <w:rsid w:val="00AE64FB"/>
    <w:rsid w:val="00AE6546"/>
    <w:rsid w:val="00AE68DB"/>
    <w:rsid w:val="00AE692F"/>
    <w:rsid w:val="00AE6A29"/>
    <w:rsid w:val="00AE6BD5"/>
    <w:rsid w:val="00AE6E99"/>
    <w:rsid w:val="00AE6F9E"/>
    <w:rsid w:val="00AE70CF"/>
    <w:rsid w:val="00AE70ED"/>
    <w:rsid w:val="00AE715C"/>
    <w:rsid w:val="00AE72CA"/>
    <w:rsid w:val="00AE7319"/>
    <w:rsid w:val="00AE750B"/>
    <w:rsid w:val="00AE7692"/>
    <w:rsid w:val="00AE7900"/>
    <w:rsid w:val="00AE7986"/>
    <w:rsid w:val="00AE7BE7"/>
    <w:rsid w:val="00AE7EB0"/>
    <w:rsid w:val="00AE7EEF"/>
    <w:rsid w:val="00AF00AF"/>
    <w:rsid w:val="00AF02F4"/>
    <w:rsid w:val="00AF0324"/>
    <w:rsid w:val="00AF0386"/>
    <w:rsid w:val="00AF0453"/>
    <w:rsid w:val="00AF0465"/>
    <w:rsid w:val="00AF0588"/>
    <w:rsid w:val="00AF05CC"/>
    <w:rsid w:val="00AF072D"/>
    <w:rsid w:val="00AF07FE"/>
    <w:rsid w:val="00AF082A"/>
    <w:rsid w:val="00AF0E68"/>
    <w:rsid w:val="00AF0E7F"/>
    <w:rsid w:val="00AF0EFD"/>
    <w:rsid w:val="00AF16D7"/>
    <w:rsid w:val="00AF18E6"/>
    <w:rsid w:val="00AF1903"/>
    <w:rsid w:val="00AF1AA0"/>
    <w:rsid w:val="00AF1D4B"/>
    <w:rsid w:val="00AF1F91"/>
    <w:rsid w:val="00AF20FB"/>
    <w:rsid w:val="00AF23EB"/>
    <w:rsid w:val="00AF24AC"/>
    <w:rsid w:val="00AF2501"/>
    <w:rsid w:val="00AF265A"/>
    <w:rsid w:val="00AF283E"/>
    <w:rsid w:val="00AF29EC"/>
    <w:rsid w:val="00AF2A74"/>
    <w:rsid w:val="00AF2B51"/>
    <w:rsid w:val="00AF2BA5"/>
    <w:rsid w:val="00AF2DF9"/>
    <w:rsid w:val="00AF2E18"/>
    <w:rsid w:val="00AF2E2E"/>
    <w:rsid w:val="00AF3010"/>
    <w:rsid w:val="00AF3033"/>
    <w:rsid w:val="00AF303C"/>
    <w:rsid w:val="00AF3216"/>
    <w:rsid w:val="00AF3234"/>
    <w:rsid w:val="00AF32F4"/>
    <w:rsid w:val="00AF3343"/>
    <w:rsid w:val="00AF334E"/>
    <w:rsid w:val="00AF33FE"/>
    <w:rsid w:val="00AF3583"/>
    <w:rsid w:val="00AF376E"/>
    <w:rsid w:val="00AF388A"/>
    <w:rsid w:val="00AF38EE"/>
    <w:rsid w:val="00AF3A8B"/>
    <w:rsid w:val="00AF3BE6"/>
    <w:rsid w:val="00AF3BEB"/>
    <w:rsid w:val="00AF3D3B"/>
    <w:rsid w:val="00AF3D9E"/>
    <w:rsid w:val="00AF41E2"/>
    <w:rsid w:val="00AF437B"/>
    <w:rsid w:val="00AF4402"/>
    <w:rsid w:val="00AF4515"/>
    <w:rsid w:val="00AF462F"/>
    <w:rsid w:val="00AF46C9"/>
    <w:rsid w:val="00AF4857"/>
    <w:rsid w:val="00AF4AAD"/>
    <w:rsid w:val="00AF4BB7"/>
    <w:rsid w:val="00AF4C57"/>
    <w:rsid w:val="00AF4EEC"/>
    <w:rsid w:val="00AF4FDF"/>
    <w:rsid w:val="00AF52B4"/>
    <w:rsid w:val="00AF5318"/>
    <w:rsid w:val="00AF549B"/>
    <w:rsid w:val="00AF5649"/>
    <w:rsid w:val="00AF5726"/>
    <w:rsid w:val="00AF5AE5"/>
    <w:rsid w:val="00AF5AEF"/>
    <w:rsid w:val="00AF5DC7"/>
    <w:rsid w:val="00AF5E0C"/>
    <w:rsid w:val="00AF5FEF"/>
    <w:rsid w:val="00AF613B"/>
    <w:rsid w:val="00AF65FF"/>
    <w:rsid w:val="00AF66B3"/>
    <w:rsid w:val="00AF6791"/>
    <w:rsid w:val="00AF684D"/>
    <w:rsid w:val="00AF693D"/>
    <w:rsid w:val="00AF69E7"/>
    <w:rsid w:val="00AF6EBB"/>
    <w:rsid w:val="00AF6FA3"/>
    <w:rsid w:val="00AF7041"/>
    <w:rsid w:val="00AF72E8"/>
    <w:rsid w:val="00AF734B"/>
    <w:rsid w:val="00AF7436"/>
    <w:rsid w:val="00AF76AF"/>
    <w:rsid w:val="00AF7F8C"/>
    <w:rsid w:val="00B00142"/>
    <w:rsid w:val="00B00333"/>
    <w:rsid w:val="00B004F1"/>
    <w:rsid w:val="00B00835"/>
    <w:rsid w:val="00B00845"/>
    <w:rsid w:val="00B00885"/>
    <w:rsid w:val="00B0095A"/>
    <w:rsid w:val="00B0097A"/>
    <w:rsid w:val="00B00986"/>
    <w:rsid w:val="00B00AC4"/>
    <w:rsid w:val="00B00B57"/>
    <w:rsid w:val="00B00CBA"/>
    <w:rsid w:val="00B00D17"/>
    <w:rsid w:val="00B00D29"/>
    <w:rsid w:val="00B00DF0"/>
    <w:rsid w:val="00B00ECE"/>
    <w:rsid w:val="00B013DB"/>
    <w:rsid w:val="00B01477"/>
    <w:rsid w:val="00B017BE"/>
    <w:rsid w:val="00B017C9"/>
    <w:rsid w:val="00B01A78"/>
    <w:rsid w:val="00B01C79"/>
    <w:rsid w:val="00B01DB8"/>
    <w:rsid w:val="00B01DFD"/>
    <w:rsid w:val="00B01FC2"/>
    <w:rsid w:val="00B02066"/>
    <w:rsid w:val="00B021FC"/>
    <w:rsid w:val="00B023B5"/>
    <w:rsid w:val="00B023B6"/>
    <w:rsid w:val="00B02753"/>
    <w:rsid w:val="00B0284E"/>
    <w:rsid w:val="00B028A3"/>
    <w:rsid w:val="00B02AC1"/>
    <w:rsid w:val="00B02B7F"/>
    <w:rsid w:val="00B02CB0"/>
    <w:rsid w:val="00B02EA4"/>
    <w:rsid w:val="00B03044"/>
    <w:rsid w:val="00B030CC"/>
    <w:rsid w:val="00B0331D"/>
    <w:rsid w:val="00B0332B"/>
    <w:rsid w:val="00B033A2"/>
    <w:rsid w:val="00B033B1"/>
    <w:rsid w:val="00B0375A"/>
    <w:rsid w:val="00B03816"/>
    <w:rsid w:val="00B03A87"/>
    <w:rsid w:val="00B03DD6"/>
    <w:rsid w:val="00B0412B"/>
    <w:rsid w:val="00B0412C"/>
    <w:rsid w:val="00B04433"/>
    <w:rsid w:val="00B0453C"/>
    <w:rsid w:val="00B045DC"/>
    <w:rsid w:val="00B0477C"/>
    <w:rsid w:val="00B04845"/>
    <w:rsid w:val="00B049D9"/>
    <w:rsid w:val="00B049FD"/>
    <w:rsid w:val="00B04A42"/>
    <w:rsid w:val="00B04A9A"/>
    <w:rsid w:val="00B04B36"/>
    <w:rsid w:val="00B04B7E"/>
    <w:rsid w:val="00B04D82"/>
    <w:rsid w:val="00B04F7A"/>
    <w:rsid w:val="00B04FB6"/>
    <w:rsid w:val="00B0527C"/>
    <w:rsid w:val="00B057F1"/>
    <w:rsid w:val="00B057F2"/>
    <w:rsid w:val="00B0590B"/>
    <w:rsid w:val="00B05938"/>
    <w:rsid w:val="00B05977"/>
    <w:rsid w:val="00B05C07"/>
    <w:rsid w:val="00B05C10"/>
    <w:rsid w:val="00B05C50"/>
    <w:rsid w:val="00B05F8B"/>
    <w:rsid w:val="00B06009"/>
    <w:rsid w:val="00B0611A"/>
    <w:rsid w:val="00B06129"/>
    <w:rsid w:val="00B0612A"/>
    <w:rsid w:val="00B06592"/>
    <w:rsid w:val="00B0674A"/>
    <w:rsid w:val="00B0678E"/>
    <w:rsid w:val="00B06826"/>
    <w:rsid w:val="00B06B30"/>
    <w:rsid w:val="00B070E6"/>
    <w:rsid w:val="00B072D4"/>
    <w:rsid w:val="00B073BC"/>
    <w:rsid w:val="00B0769D"/>
    <w:rsid w:val="00B07C1E"/>
    <w:rsid w:val="00B0A03A"/>
    <w:rsid w:val="00B10235"/>
    <w:rsid w:val="00B103A3"/>
    <w:rsid w:val="00B104E0"/>
    <w:rsid w:val="00B10515"/>
    <w:rsid w:val="00B106E4"/>
    <w:rsid w:val="00B10CDD"/>
    <w:rsid w:val="00B1108D"/>
    <w:rsid w:val="00B111CE"/>
    <w:rsid w:val="00B114D5"/>
    <w:rsid w:val="00B115D4"/>
    <w:rsid w:val="00B116EE"/>
    <w:rsid w:val="00B1172E"/>
    <w:rsid w:val="00B1179F"/>
    <w:rsid w:val="00B1180A"/>
    <w:rsid w:val="00B11B0D"/>
    <w:rsid w:val="00B11C6E"/>
    <w:rsid w:val="00B11D53"/>
    <w:rsid w:val="00B11E6A"/>
    <w:rsid w:val="00B11ED2"/>
    <w:rsid w:val="00B123A2"/>
    <w:rsid w:val="00B1248E"/>
    <w:rsid w:val="00B12819"/>
    <w:rsid w:val="00B12A76"/>
    <w:rsid w:val="00B12AD8"/>
    <w:rsid w:val="00B12BBA"/>
    <w:rsid w:val="00B12C84"/>
    <w:rsid w:val="00B12CD8"/>
    <w:rsid w:val="00B12D18"/>
    <w:rsid w:val="00B12E9A"/>
    <w:rsid w:val="00B13041"/>
    <w:rsid w:val="00B133A6"/>
    <w:rsid w:val="00B139A0"/>
    <w:rsid w:val="00B13A5F"/>
    <w:rsid w:val="00B13A98"/>
    <w:rsid w:val="00B13E1F"/>
    <w:rsid w:val="00B14014"/>
    <w:rsid w:val="00B140C8"/>
    <w:rsid w:val="00B1411C"/>
    <w:rsid w:val="00B1412C"/>
    <w:rsid w:val="00B142E5"/>
    <w:rsid w:val="00B1439C"/>
    <w:rsid w:val="00B143D7"/>
    <w:rsid w:val="00B144B5"/>
    <w:rsid w:val="00B145ED"/>
    <w:rsid w:val="00B14671"/>
    <w:rsid w:val="00B147D4"/>
    <w:rsid w:val="00B148C7"/>
    <w:rsid w:val="00B14A48"/>
    <w:rsid w:val="00B14AE5"/>
    <w:rsid w:val="00B14B42"/>
    <w:rsid w:val="00B14B4E"/>
    <w:rsid w:val="00B14B7C"/>
    <w:rsid w:val="00B14B98"/>
    <w:rsid w:val="00B14C6C"/>
    <w:rsid w:val="00B14D3C"/>
    <w:rsid w:val="00B14DC8"/>
    <w:rsid w:val="00B14DCF"/>
    <w:rsid w:val="00B14F14"/>
    <w:rsid w:val="00B15021"/>
    <w:rsid w:val="00B15119"/>
    <w:rsid w:val="00B152A2"/>
    <w:rsid w:val="00B153A1"/>
    <w:rsid w:val="00B15698"/>
    <w:rsid w:val="00B15844"/>
    <w:rsid w:val="00B158F0"/>
    <w:rsid w:val="00B15925"/>
    <w:rsid w:val="00B15DF2"/>
    <w:rsid w:val="00B16025"/>
    <w:rsid w:val="00B160B7"/>
    <w:rsid w:val="00B160D0"/>
    <w:rsid w:val="00B16131"/>
    <w:rsid w:val="00B16146"/>
    <w:rsid w:val="00B16214"/>
    <w:rsid w:val="00B16422"/>
    <w:rsid w:val="00B16676"/>
    <w:rsid w:val="00B1675C"/>
    <w:rsid w:val="00B168E2"/>
    <w:rsid w:val="00B168F3"/>
    <w:rsid w:val="00B16A3F"/>
    <w:rsid w:val="00B16AA1"/>
    <w:rsid w:val="00B16B66"/>
    <w:rsid w:val="00B16C2F"/>
    <w:rsid w:val="00B16E43"/>
    <w:rsid w:val="00B17009"/>
    <w:rsid w:val="00B170BA"/>
    <w:rsid w:val="00B17112"/>
    <w:rsid w:val="00B1715C"/>
    <w:rsid w:val="00B17193"/>
    <w:rsid w:val="00B17592"/>
    <w:rsid w:val="00B175DF"/>
    <w:rsid w:val="00B17637"/>
    <w:rsid w:val="00B176B6"/>
    <w:rsid w:val="00B17740"/>
    <w:rsid w:val="00B17830"/>
    <w:rsid w:val="00B17EBE"/>
    <w:rsid w:val="00B17F55"/>
    <w:rsid w:val="00B20393"/>
    <w:rsid w:val="00B203A4"/>
    <w:rsid w:val="00B206F4"/>
    <w:rsid w:val="00B2078F"/>
    <w:rsid w:val="00B207F9"/>
    <w:rsid w:val="00B20848"/>
    <w:rsid w:val="00B20934"/>
    <w:rsid w:val="00B20AB7"/>
    <w:rsid w:val="00B20BD3"/>
    <w:rsid w:val="00B20CCF"/>
    <w:rsid w:val="00B20EA1"/>
    <w:rsid w:val="00B20F6D"/>
    <w:rsid w:val="00B20FE7"/>
    <w:rsid w:val="00B2119D"/>
    <w:rsid w:val="00B2131C"/>
    <w:rsid w:val="00B21591"/>
    <w:rsid w:val="00B215A6"/>
    <w:rsid w:val="00B215F6"/>
    <w:rsid w:val="00B21815"/>
    <w:rsid w:val="00B21C49"/>
    <w:rsid w:val="00B21C5A"/>
    <w:rsid w:val="00B21D15"/>
    <w:rsid w:val="00B221E5"/>
    <w:rsid w:val="00B22247"/>
    <w:rsid w:val="00B22842"/>
    <w:rsid w:val="00B2293C"/>
    <w:rsid w:val="00B2296E"/>
    <w:rsid w:val="00B229F3"/>
    <w:rsid w:val="00B22B0D"/>
    <w:rsid w:val="00B22BC3"/>
    <w:rsid w:val="00B22FF4"/>
    <w:rsid w:val="00B23395"/>
    <w:rsid w:val="00B23510"/>
    <w:rsid w:val="00B23976"/>
    <w:rsid w:val="00B23A41"/>
    <w:rsid w:val="00B23A50"/>
    <w:rsid w:val="00B23A93"/>
    <w:rsid w:val="00B23C45"/>
    <w:rsid w:val="00B23C59"/>
    <w:rsid w:val="00B23E66"/>
    <w:rsid w:val="00B23FE5"/>
    <w:rsid w:val="00B240C2"/>
    <w:rsid w:val="00B2420E"/>
    <w:rsid w:val="00B243D4"/>
    <w:rsid w:val="00B246AC"/>
    <w:rsid w:val="00B24B03"/>
    <w:rsid w:val="00B24B13"/>
    <w:rsid w:val="00B24B41"/>
    <w:rsid w:val="00B24C5A"/>
    <w:rsid w:val="00B24CD9"/>
    <w:rsid w:val="00B24E8B"/>
    <w:rsid w:val="00B24E8D"/>
    <w:rsid w:val="00B25008"/>
    <w:rsid w:val="00B2501C"/>
    <w:rsid w:val="00B250D4"/>
    <w:rsid w:val="00B25118"/>
    <w:rsid w:val="00B2529F"/>
    <w:rsid w:val="00B252A5"/>
    <w:rsid w:val="00B252B0"/>
    <w:rsid w:val="00B252F4"/>
    <w:rsid w:val="00B25389"/>
    <w:rsid w:val="00B253DE"/>
    <w:rsid w:val="00B25457"/>
    <w:rsid w:val="00B25485"/>
    <w:rsid w:val="00B25498"/>
    <w:rsid w:val="00B254AA"/>
    <w:rsid w:val="00B25897"/>
    <w:rsid w:val="00B259E3"/>
    <w:rsid w:val="00B259FB"/>
    <w:rsid w:val="00B25A16"/>
    <w:rsid w:val="00B25ACE"/>
    <w:rsid w:val="00B25BBE"/>
    <w:rsid w:val="00B25CA8"/>
    <w:rsid w:val="00B25E90"/>
    <w:rsid w:val="00B25ED4"/>
    <w:rsid w:val="00B261FD"/>
    <w:rsid w:val="00B26429"/>
    <w:rsid w:val="00B26485"/>
    <w:rsid w:val="00B265EA"/>
    <w:rsid w:val="00B265F0"/>
    <w:rsid w:val="00B2661D"/>
    <w:rsid w:val="00B26854"/>
    <w:rsid w:val="00B26C83"/>
    <w:rsid w:val="00B26D5D"/>
    <w:rsid w:val="00B26DB8"/>
    <w:rsid w:val="00B26E42"/>
    <w:rsid w:val="00B26ECF"/>
    <w:rsid w:val="00B26EEA"/>
    <w:rsid w:val="00B2717D"/>
    <w:rsid w:val="00B27252"/>
    <w:rsid w:val="00B275BD"/>
    <w:rsid w:val="00B275F5"/>
    <w:rsid w:val="00B2765D"/>
    <w:rsid w:val="00B276E2"/>
    <w:rsid w:val="00B278C3"/>
    <w:rsid w:val="00B278F1"/>
    <w:rsid w:val="00B279CD"/>
    <w:rsid w:val="00B27B76"/>
    <w:rsid w:val="00B27C50"/>
    <w:rsid w:val="00B27CA1"/>
    <w:rsid w:val="00B27FFA"/>
    <w:rsid w:val="00B3006D"/>
    <w:rsid w:val="00B3043E"/>
    <w:rsid w:val="00B304DC"/>
    <w:rsid w:val="00B30502"/>
    <w:rsid w:val="00B306A2"/>
    <w:rsid w:val="00B30808"/>
    <w:rsid w:val="00B308BF"/>
    <w:rsid w:val="00B30A6D"/>
    <w:rsid w:val="00B30A85"/>
    <w:rsid w:val="00B30AEC"/>
    <w:rsid w:val="00B30BD8"/>
    <w:rsid w:val="00B30D04"/>
    <w:rsid w:val="00B30F18"/>
    <w:rsid w:val="00B3100F"/>
    <w:rsid w:val="00B310B3"/>
    <w:rsid w:val="00B310D6"/>
    <w:rsid w:val="00B312FD"/>
    <w:rsid w:val="00B31390"/>
    <w:rsid w:val="00B3149D"/>
    <w:rsid w:val="00B31811"/>
    <w:rsid w:val="00B318AF"/>
    <w:rsid w:val="00B31BF4"/>
    <w:rsid w:val="00B31C48"/>
    <w:rsid w:val="00B31D97"/>
    <w:rsid w:val="00B32046"/>
    <w:rsid w:val="00B3221F"/>
    <w:rsid w:val="00B32224"/>
    <w:rsid w:val="00B322F2"/>
    <w:rsid w:val="00B3230E"/>
    <w:rsid w:val="00B325A9"/>
    <w:rsid w:val="00B3287A"/>
    <w:rsid w:val="00B32914"/>
    <w:rsid w:val="00B32A12"/>
    <w:rsid w:val="00B32A4A"/>
    <w:rsid w:val="00B32C49"/>
    <w:rsid w:val="00B32D42"/>
    <w:rsid w:val="00B32DD1"/>
    <w:rsid w:val="00B32EF2"/>
    <w:rsid w:val="00B33011"/>
    <w:rsid w:val="00B3312B"/>
    <w:rsid w:val="00B33160"/>
    <w:rsid w:val="00B33636"/>
    <w:rsid w:val="00B33753"/>
    <w:rsid w:val="00B3380D"/>
    <w:rsid w:val="00B33852"/>
    <w:rsid w:val="00B33876"/>
    <w:rsid w:val="00B33DED"/>
    <w:rsid w:val="00B33ED6"/>
    <w:rsid w:val="00B33F07"/>
    <w:rsid w:val="00B33FF1"/>
    <w:rsid w:val="00B3429E"/>
    <w:rsid w:val="00B342D1"/>
    <w:rsid w:val="00B34462"/>
    <w:rsid w:val="00B345B7"/>
    <w:rsid w:val="00B34AAD"/>
    <w:rsid w:val="00B34BE2"/>
    <w:rsid w:val="00B34DD1"/>
    <w:rsid w:val="00B351C3"/>
    <w:rsid w:val="00B352A9"/>
    <w:rsid w:val="00B352B7"/>
    <w:rsid w:val="00B353BB"/>
    <w:rsid w:val="00B35527"/>
    <w:rsid w:val="00B35569"/>
    <w:rsid w:val="00B356E4"/>
    <w:rsid w:val="00B3572A"/>
    <w:rsid w:val="00B357EA"/>
    <w:rsid w:val="00B35AF7"/>
    <w:rsid w:val="00B360E7"/>
    <w:rsid w:val="00B361F1"/>
    <w:rsid w:val="00B36241"/>
    <w:rsid w:val="00B36442"/>
    <w:rsid w:val="00B36478"/>
    <w:rsid w:val="00B364B4"/>
    <w:rsid w:val="00B365EE"/>
    <w:rsid w:val="00B368D6"/>
    <w:rsid w:val="00B369E5"/>
    <w:rsid w:val="00B37092"/>
    <w:rsid w:val="00B37212"/>
    <w:rsid w:val="00B374BA"/>
    <w:rsid w:val="00B37596"/>
    <w:rsid w:val="00B37637"/>
    <w:rsid w:val="00B3769C"/>
    <w:rsid w:val="00B376AF"/>
    <w:rsid w:val="00B37785"/>
    <w:rsid w:val="00B3785C"/>
    <w:rsid w:val="00B378A5"/>
    <w:rsid w:val="00B37A2B"/>
    <w:rsid w:val="00B37B6C"/>
    <w:rsid w:val="00B37D48"/>
    <w:rsid w:val="00B37D49"/>
    <w:rsid w:val="00B37DC8"/>
    <w:rsid w:val="00B37DEC"/>
    <w:rsid w:val="00B37E2C"/>
    <w:rsid w:val="00B40531"/>
    <w:rsid w:val="00B4057C"/>
    <w:rsid w:val="00B407BD"/>
    <w:rsid w:val="00B407E7"/>
    <w:rsid w:val="00B40A33"/>
    <w:rsid w:val="00B40BB5"/>
    <w:rsid w:val="00B40F4A"/>
    <w:rsid w:val="00B40F6C"/>
    <w:rsid w:val="00B41074"/>
    <w:rsid w:val="00B410B8"/>
    <w:rsid w:val="00B4116B"/>
    <w:rsid w:val="00B41273"/>
    <w:rsid w:val="00B41607"/>
    <w:rsid w:val="00B41622"/>
    <w:rsid w:val="00B417C3"/>
    <w:rsid w:val="00B41A7E"/>
    <w:rsid w:val="00B41D04"/>
    <w:rsid w:val="00B41D61"/>
    <w:rsid w:val="00B41E0C"/>
    <w:rsid w:val="00B41E17"/>
    <w:rsid w:val="00B41F0F"/>
    <w:rsid w:val="00B41FDB"/>
    <w:rsid w:val="00B420B8"/>
    <w:rsid w:val="00B4210D"/>
    <w:rsid w:val="00B42285"/>
    <w:rsid w:val="00B422FB"/>
    <w:rsid w:val="00B4230B"/>
    <w:rsid w:val="00B424A0"/>
    <w:rsid w:val="00B424F9"/>
    <w:rsid w:val="00B427BB"/>
    <w:rsid w:val="00B4299D"/>
    <w:rsid w:val="00B42C2E"/>
    <w:rsid w:val="00B42D8E"/>
    <w:rsid w:val="00B42E38"/>
    <w:rsid w:val="00B430B3"/>
    <w:rsid w:val="00B4315B"/>
    <w:rsid w:val="00B43200"/>
    <w:rsid w:val="00B434BD"/>
    <w:rsid w:val="00B43545"/>
    <w:rsid w:val="00B435A4"/>
    <w:rsid w:val="00B436E0"/>
    <w:rsid w:val="00B43874"/>
    <w:rsid w:val="00B43B9A"/>
    <w:rsid w:val="00B43C1C"/>
    <w:rsid w:val="00B43CE6"/>
    <w:rsid w:val="00B43D8A"/>
    <w:rsid w:val="00B43E29"/>
    <w:rsid w:val="00B4414B"/>
    <w:rsid w:val="00B44199"/>
    <w:rsid w:val="00B4435A"/>
    <w:rsid w:val="00B4436E"/>
    <w:rsid w:val="00B4447C"/>
    <w:rsid w:val="00B444F6"/>
    <w:rsid w:val="00B4465C"/>
    <w:rsid w:val="00B4470E"/>
    <w:rsid w:val="00B447A0"/>
    <w:rsid w:val="00B4493F"/>
    <w:rsid w:val="00B44AF4"/>
    <w:rsid w:val="00B44BC8"/>
    <w:rsid w:val="00B44D83"/>
    <w:rsid w:val="00B44E4D"/>
    <w:rsid w:val="00B44F6C"/>
    <w:rsid w:val="00B44FBB"/>
    <w:rsid w:val="00B44FDF"/>
    <w:rsid w:val="00B4517C"/>
    <w:rsid w:val="00B451EA"/>
    <w:rsid w:val="00B45376"/>
    <w:rsid w:val="00B45486"/>
    <w:rsid w:val="00B456DE"/>
    <w:rsid w:val="00B45878"/>
    <w:rsid w:val="00B45939"/>
    <w:rsid w:val="00B45982"/>
    <w:rsid w:val="00B45A65"/>
    <w:rsid w:val="00B45C83"/>
    <w:rsid w:val="00B45C9C"/>
    <w:rsid w:val="00B45D01"/>
    <w:rsid w:val="00B45D6A"/>
    <w:rsid w:val="00B45FC3"/>
    <w:rsid w:val="00B45FDE"/>
    <w:rsid w:val="00B462F9"/>
    <w:rsid w:val="00B4640F"/>
    <w:rsid w:val="00B468D1"/>
    <w:rsid w:val="00B469EA"/>
    <w:rsid w:val="00B469F9"/>
    <w:rsid w:val="00B46B8C"/>
    <w:rsid w:val="00B46D4A"/>
    <w:rsid w:val="00B46DAB"/>
    <w:rsid w:val="00B46DFD"/>
    <w:rsid w:val="00B46E79"/>
    <w:rsid w:val="00B46F98"/>
    <w:rsid w:val="00B47184"/>
    <w:rsid w:val="00B475DF"/>
    <w:rsid w:val="00B47D82"/>
    <w:rsid w:val="00B47DAE"/>
    <w:rsid w:val="00B47FE8"/>
    <w:rsid w:val="00B500F6"/>
    <w:rsid w:val="00B500F9"/>
    <w:rsid w:val="00B50147"/>
    <w:rsid w:val="00B505FB"/>
    <w:rsid w:val="00B50BFA"/>
    <w:rsid w:val="00B50DF8"/>
    <w:rsid w:val="00B50E6F"/>
    <w:rsid w:val="00B50F5A"/>
    <w:rsid w:val="00B5110B"/>
    <w:rsid w:val="00B51188"/>
    <w:rsid w:val="00B51193"/>
    <w:rsid w:val="00B51354"/>
    <w:rsid w:val="00B5160F"/>
    <w:rsid w:val="00B51951"/>
    <w:rsid w:val="00B519ED"/>
    <w:rsid w:val="00B51E45"/>
    <w:rsid w:val="00B51E57"/>
    <w:rsid w:val="00B51F7C"/>
    <w:rsid w:val="00B5213E"/>
    <w:rsid w:val="00B522E2"/>
    <w:rsid w:val="00B52380"/>
    <w:rsid w:val="00B524D7"/>
    <w:rsid w:val="00B525BA"/>
    <w:rsid w:val="00B526F4"/>
    <w:rsid w:val="00B52719"/>
    <w:rsid w:val="00B528E9"/>
    <w:rsid w:val="00B52913"/>
    <w:rsid w:val="00B52991"/>
    <w:rsid w:val="00B52A66"/>
    <w:rsid w:val="00B52AB8"/>
    <w:rsid w:val="00B52ABC"/>
    <w:rsid w:val="00B52ABE"/>
    <w:rsid w:val="00B52BE3"/>
    <w:rsid w:val="00B52DFF"/>
    <w:rsid w:val="00B53063"/>
    <w:rsid w:val="00B53102"/>
    <w:rsid w:val="00B531E8"/>
    <w:rsid w:val="00B53204"/>
    <w:rsid w:val="00B5330A"/>
    <w:rsid w:val="00B5374E"/>
    <w:rsid w:val="00B5377B"/>
    <w:rsid w:val="00B53BDB"/>
    <w:rsid w:val="00B53BED"/>
    <w:rsid w:val="00B53D2E"/>
    <w:rsid w:val="00B53D8C"/>
    <w:rsid w:val="00B54359"/>
    <w:rsid w:val="00B543EF"/>
    <w:rsid w:val="00B5480A"/>
    <w:rsid w:val="00B54B58"/>
    <w:rsid w:val="00B54E4D"/>
    <w:rsid w:val="00B54E6E"/>
    <w:rsid w:val="00B55768"/>
    <w:rsid w:val="00B55A87"/>
    <w:rsid w:val="00B55B8F"/>
    <w:rsid w:val="00B55C8C"/>
    <w:rsid w:val="00B55CE6"/>
    <w:rsid w:val="00B55F26"/>
    <w:rsid w:val="00B55FFA"/>
    <w:rsid w:val="00B560D4"/>
    <w:rsid w:val="00B562D7"/>
    <w:rsid w:val="00B56378"/>
    <w:rsid w:val="00B567B4"/>
    <w:rsid w:val="00B5693E"/>
    <w:rsid w:val="00B56AE4"/>
    <w:rsid w:val="00B56E64"/>
    <w:rsid w:val="00B5704B"/>
    <w:rsid w:val="00B5707F"/>
    <w:rsid w:val="00B5719D"/>
    <w:rsid w:val="00B571BD"/>
    <w:rsid w:val="00B5742E"/>
    <w:rsid w:val="00B57949"/>
    <w:rsid w:val="00B57A7B"/>
    <w:rsid w:val="00B57DA7"/>
    <w:rsid w:val="00B57DC8"/>
    <w:rsid w:val="00B57DCC"/>
    <w:rsid w:val="00B6004B"/>
    <w:rsid w:val="00B60272"/>
    <w:rsid w:val="00B60403"/>
    <w:rsid w:val="00B60518"/>
    <w:rsid w:val="00B6057C"/>
    <w:rsid w:val="00B6061B"/>
    <w:rsid w:val="00B60A68"/>
    <w:rsid w:val="00B60AD3"/>
    <w:rsid w:val="00B60DF7"/>
    <w:rsid w:val="00B60F11"/>
    <w:rsid w:val="00B611D2"/>
    <w:rsid w:val="00B611DE"/>
    <w:rsid w:val="00B61578"/>
    <w:rsid w:val="00B618B3"/>
    <w:rsid w:val="00B619C9"/>
    <w:rsid w:val="00B61D02"/>
    <w:rsid w:val="00B61F30"/>
    <w:rsid w:val="00B61F66"/>
    <w:rsid w:val="00B6213C"/>
    <w:rsid w:val="00B621E7"/>
    <w:rsid w:val="00B62567"/>
    <w:rsid w:val="00B625B3"/>
    <w:rsid w:val="00B6278D"/>
    <w:rsid w:val="00B6291E"/>
    <w:rsid w:val="00B62958"/>
    <w:rsid w:val="00B62968"/>
    <w:rsid w:val="00B629B0"/>
    <w:rsid w:val="00B62B78"/>
    <w:rsid w:val="00B630EE"/>
    <w:rsid w:val="00B63312"/>
    <w:rsid w:val="00B63467"/>
    <w:rsid w:val="00B634A6"/>
    <w:rsid w:val="00B634CF"/>
    <w:rsid w:val="00B638EC"/>
    <w:rsid w:val="00B639AD"/>
    <w:rsid w:val="00B63B60"/>
    <w:rsid w:val="00B63C62"/>
    <w:rsid w:val="00B63CDC"/>
    <w:rsid w:val="00B63D1E"/>
    <w:rsid w:val="00B63FAA"/>
    <w:rsid w:val="00B6409F"/>
    <w:rsid w:val="00B641EE"/>
    <w:rsid w:val="00B64235"/>
    <w:rsid w:val="00B64249"/>
    <w:rsid w:val="00B642A9"/>
    <w:rsid w:val="00B642F9"/>
    <w:rsid w:val="00B6434A"/>
    <w:rsid w:val="00B64627"/>
    <w:rsid w:val="00B6463D"/>
    <w:rsid w:val="00B64656"/>
    <w:rsid w:val="00B646FD"/>
    <w:rsid w:val="00B6475E"/>
    <w:rsid w:val="00B64781"/>
    <w:rsid w:val="00B647F8"/>
    <w:rsid w:val="00B6496D"/>
    <w:rsid w:val="00B64F71"/>
    <w:rsid w:val="00B64FEB"/>
    <w:rsid w:val="00B6522B"/>
    <w:rsid w:val="00B65556"/>
    <w:rsid w:val="00B655A0"/>
    <w:rsid w:val="00B655CB"/>
    <w:rsid w:val="00B65620"/>
    <w:rsid w:val="00B65838"/>
    <w:rsid w:val="00B65A32"/>
    <w:rsid w:val="00B65C0B"/>
    <w:rsid w:val="00B65C55"/>
    <w:rsid w:val="00B65D2F"/>
    <w:rsid w:val="00B65D4E"/>
    <w:rsid w:val="00B65E18"/>
    <w:rsid w:val="00B65E25"/>
    <w:rsid w:val="00B660A2"/>
    <w:rsid w:val="00B6610C"/>
    <w:rsid w:val="00B66123"/>
    <w:rsid w:val="00B662F2"/>
    <w:rsid w:val="00B6635B"/>
    <w:rsid w:val="00B665E8"/>
    <w:rsid w:val="00B6681A"/>
    <w:rsid w:val="00B6696C"/>
    <w:rsid w:val="00B669AE"/>
    <w:rsid w:val="00B66A11"/>
    <w:rsid w:val="00B66AB3"/>
    <w:rsid w:val="00B66BBF"/>
    <w:rsid w:val="00B66DFD"/>
    <w:rsid w:val="00B66F83"/>
    <w:rsid w:val="00B6701C"/>
    <w:rsid w:val="00B67044"/>
    <w:rsid w:val="00B6708C"/>
    <w:rsid w:val="00B67310"/>
    <w:rsid w:val="00B67361"/>
    <w:rsid w:val="00B67450"/>
    <w:rsid w:val="00B6762F"/>
    <w:rsid w:val="00B6779C"/>
    <w:rsid w:val="00B677E0"/>
    <w:rsid w:val="00B678D5"/>
    <w:rsid w:val="00B6796E"/>
    <w:rsid w:val="00B67C2D"/>
    <w:rsid w:val="00B70057"/>
    <w:rsid w:val="00B7017D"/>
    <w:rsid w:val="00B702E5"/>
    <w:rsid w:val="00B709CB"/>
    <w:rsid w:val="00B709E2"/>
    <w:rsid w:val="00B70AB5"/>
    <w:rsid w:val="00B70BD9"/>
    <w:rsid w:val="00B70DDC"/>
    <w:rsid w:val="00B7127F"/>
    <w:rsid w:val="00B716E0"/>
    <w:rsid w:val="00B71705"/>
    <w:rsid w:val="00B71782"/>
    <w:rsid w:val="00B717BD"/>
    <w:rsid w:val="00B717EE"/>
    <w:rsid w:val="00B7195E"/>
    <w:rsid w:val="00B71D55"/>
    <w:rsid w:val="00B7222C"/>
    <w:rsid w:val="00B72323"/>
    <w:rsid w:val="00B723F8"/>
    <w:rsid w:val="00B724A5"/>
    <w:rsid w:val="00B7293F"/>
    <w:rsid w:val="00B7295C"/>
    <w:rsid w:val="00B72A1B"/>
    <w:rsid w:val="00B72AB7"/>
    <w:rsid w:val="00B72BBE"/>
    <w:rsid w:val="00B734E0"/>
    <w:rsid w:val="00B7370A"/>
    <w:rsid w:val="00B7391A"/>
    <w:rsid w:val="00B7396B"/>
    <w:rsid w:val="00B73988"/>
    <w:rsid w:val="00B73C3E"/>
    <w:rsid w:val="00B73CC4"/>
    <w:rsid w:val="00B73EA0"/>
    <w:rsid w:val="00B74068"/>
    <w:rsid w:val="00B741B4"/>
    <w:rsid w:val="00B74272"/>
    <w:rsid w:val="00B742A9"/>
    <w:rsid w:val="00B743FF"/>
    <w:rsid w:val="00B745D7"/>
    <w:rsid w:val="00B74695"/>
    <w:rsid w:val="00B747A2"/>
    <w:rsid w:val="00B747AE"/>
    <w:rsid w:val="00B7480B"/>
    <w:rsid w:val="00B74C59"/>
    <w:rsid w:val="00B74F2F"/>
    <w:rsid w:val="00B74F58"/>
    <w:rsid w:val="00B75156"/>
    <w:rsid w:val="00B751C9"/>
    <w:rsid w:val="00B752E7"/>
    <w:rsid w:val="00B754CF"/>
    <w:rsid w:val="00B75616"/>
    <w:rsid w:val="00B759E9"/>
    <w:rsid w:val="00B75B0D"/>
    <w:rsid w:val="00B75B1D"/>
    <w:rsid w:val="00B75C7E"/>
    <w:rsid w:val="00B75E12"/>
    <w:rsid w:val="00B75FBE"/>
    <w:rsid w:val="00B75FC9"/>
    <w:rsid w:val="00B76016"/>
    <w:rsid w:val="00B7601C"/>
    <w:rsid w:val="00B761FE"/>
    <w:rsid w:val="00B7633C"/>
    <w:rsid w:val="00B76607"/>
    <w:rsid w:val="00B76690"/>
    <w:rsid w:val="00B76750"/>
    <w:rsid w:val="00B7675B"/>
    <w:rsid w:val="00B76863"/>
    <w:rsid w:val="00B7686B"/>
    <w:rsid w:val="00B7689A"/>
    <w:rsid w:val="00B76A33"/>
    <w:rsid w:val="00B76B19"/>
    <w:rsid w:val="00B76CC0"/>
    <w:rsid w:val="00B76F93"/>
    <w:rsid w:val="00B77073"/>
    <w:rsid w:val="00B77088"/>
    <w:rsid w:val="00B7718B"/>
    <w:rsid w:val="00B7758D"/>
    <w:rsid w:val="00B7780F"/>
    <w:rsid w:val="00B77969"/>
    <w:rsid w:val="00B77A1B"/>
    <w:rsid w:val="00B77A2D"/>
    <w:rsid w:val="00B77ACC"/>
    <w:rsid w:val="00B77C65"/>
    <w:rsid w:val="00B77CA1"/>
    <w:rsid w:val="00B77E04"/>
    <w:rsid w:val="00B77E24"/>
    <w:rsid w:val="00B77F46"/>
    <w:rsid w:val="00B8004B"/>
    <w:rsid w:val="00B802B1"/>
    <w:rsid w:val="00B80414"/>
    <w:rsid w:val="00B804D9"/>
    <w:rsid w:val="00B804DD"/>
    <w:rsid w:val="00B805D9"/>
    <w:rsid w:val="00B80785"/>
    <w:rsid w:val="00B8079F"/>
    <w:rsid w:val="00B80945"/>
    <w:rsid w:val="00B809D7"/>
    <w:rsid w:val="00B80C8B"/>
    <w:rsid w:val="00B80D30"/>
    <w:rsid w:val="00B80D73"/>
    <w:rsid w:val="00B80D77"/>
    <w:rsid w:val="00B81165"/>
    <w:rsid w:val="00B8136B"/>
    <w:rsid w:val="00B81657"/>
    <w:rsid w:val="00B816C4"/>
    <w:rsid w:val="00B81968"/>
    <w:rsid w:val="00B81992"/>
    <w:rsid w:val="00B819D6"/>
    <w:rsid w:val="00B81B4B"/>
    <w:rsid w:val="00B81BD0"/>
    <w:rsid w:val="00B81DB6"/>
    <w:rsid w:val="00B81EA9"/>
    <w:rsid w:val="00B81EDC"/>
    <w:rsid w:val="00B81FD9"/>
    <w:rsid w:val="00B820DF"/>
    <w:rsid w:val="00B82383"/>
    <w:rsid w:val="00B8262D"/>
    <w:rsid w:val="00B8262E"/>
    <w:rsid w:val="00B82701"/>
    <w:rsid w:val="00B827E9"/>
    <w:rsid w:val="00B8294A"/>
    <w:rsid w:val="00B829E7"/>
    <w:rsid w:val="00B82AD7"/>
    <w:rsid w:val="00B82BDA"/>
    <w:rsid w:val="00B82C32"/>
    <w:rsid w:val="00B82C49"/>
    <w:rsid w:val="00B82D7C"/>
    <w:rsid w:val="00B82E21"/>
    <w:rsid w:val="00B83039"/>
    <w:rsid w:val="00B83353"/>
    <w:rsid w:val="00B8364A"/>
    <w:rsid w:val="00B838CC"/>
    <w:rsid w:val="00B83C78"/>
    <w:rsid w:val="00B83DE7"/>
    <w:rsid w:val="00B83E60"/>
    <w:rsid w:val="00B83E84"/>
    <w:rsid w:val="00B83ED0"/>
    <w:rsid w:val="00B83FD2"/>
    <w:rsid w:val="00B84003"/>
    <w:rsid w:val="00B844AB"/>
    <w:rsid w:val="00B845F9"/>
    <w:rsid w:val="00B847E7"/>
    <w:rsid w:val="00B848DD"/>
    <w:rsid w:val="00B84969"/>
    <w:rsid w:val="00B84C83"/>
    <w:rsid w:val="00B84CF0"/>
    <w:rsid w:val="00B84E26"/>
    <w:rsid w:val="00B84EF4"/>
    <w:rsid w:val="00B84F58"/>
    <w:rsid w:val="00B85028"/>
    <w:rsid w:val="00B85112"/>
    <w:rsid w:val="00B85263"/>
    <w:rsid w:val="00B8540A"/>
    <w:rsid w:val="00B854C3"/>
    <w:rsid w:val="00B854C9"/>
    <w:rsid w:val="00B85653"/>
    <w:rsid w:val="00B8567C"/>
    <w:rsid w:val="00B85782"/>
    <w:rsid w:val="00B85A12"/>
    <w:rsid w:val="00B85A3B"/>
    <w:rsid w:val="00B85B35"/>
    <w:rsid w:val="00B85B5F"/>
    <w:rsid w:val="00B85BB5"/>
    <w:rsid w:val="00B85BFA"/>
    <w:rsid w:val="00B85CCF"/>
    <w:rsid w:val="00B85DE7"/>
    <w:rsid w:val="00B85E9C"/>
    <w:rsid w:val="00B86042"/>
    <w:rsid w:val="00B86054"/>
    <w:rsid w:val="00B86056"/>
    <w:rsid w:val="00B861ED"/>
    <w:rsid w:val="00B86661"/>
    <w:rsid w:val="00B8683E"/>
    <w:rsid w:val="00B86A26"/>
    <w:rsid w:val="00B86A5A"/>
    <w:rsid w:val="00B86C68"/>
    <w:rsid w:val="00B86D9B"/>
    <w:rsid w:val="00B86EE8"/>
    <w:rsid w:val="00B86F1C"/>
    <w:rsid w:val="00B870B4"/>
    <w:rsid w:val="00B8719B"/>
    <w:rsid w:val="00B874A6"/>
    <w:rsid w:val="00B8771F"/>
    <w:rsid w:val="00B8789E"/>
    <w:rsid w:val="00B9021F"/>
    <w:rsid w:val="00B90563"/>
    <w:rsid w:val="00B905A9"/>
    <w:rsid w:val="00B905F1"/>
    <w:rsid w:val="00B90725"/>
    <w:rsid w:val="00B90740"/>
    <w:rsid w:val="00B90826"/>
    <w:rsid w:val="00B90997"/>
    <w:rsid w:val="00B90B64"/>
    <w:rsid w:val="00B90FB7"/>
    <w:rsid w:val="00B90FE3"/>
    <w:rsid w:val="00B911C7"/>
    <w:rsid w:val="00B91561"/>
    <w:rsid w:val="00B917B9"/>
    <w:rsid w:val="00B91816"/>
    <w:rsid w:val="00B91AE8"/>
    <w:rsid w:val="00B91C12"/>
    <w:rsid w:val="00B91DEC"/>
    <w:rsid w:val="00B91E8E"/>
    <w:rsid w:val="00B91F14"/>
    <w:rsid w:val="00B91F97"/>
    <w:rsid w:val="00B92044"/>
    <w:rsid w:val="00B922CC"/>
    <w:rsid w:val="00B9237C"/>
    <w:rsid w:val="00B9269C"/>
    <w:rsid w:val="00B926E6"/>
    <w:rsid w:val="00B927E6"/>
    <w:rsid w:val="00B92CF0"/>
    <w:rsid w:val="00B92D05"/>
    <w:rsid w:val="00B92D46"/>
    <w:rsid w:val="00B92F4F"/>
    <w:rsid w:val="00B93090"/>
    <w:rsid w:val="00B9326C"/>
    <w:rsid w:val="00B934B3"/>
    <w:rsid w:val="00B9351B"/>
    <w:rsid w:val="00B935CA"/>
    <w:rsid w:val="00B93664"/>
    <w:rsid w:val="00B93674"/>
    <w:rsid w:val="00B9367F"/>
    <w:rsid w:val="00B93680"/>
    <w:rsid w:val="00B93702"/>
    <w:rsid w:val="00B93707"/>
    <w:rsid w:val="00B93894"/>
    <w:rsid w:val="00B938B9"/>
    <w:rsid w:val="00B93EEF"/>
    <w:rsid w:val="00B9404D"/>
    <w:rsid w:val="00B943A2"/>
    <w:rsid w:val="00B94C46"/>
    <w:rsid w:val="00B94E6D"/>
    <w:rsid w:val="00B94EE7"/>
    <w:rsid w:val="00B95168"/>
    <w:rsid w:val="00B95363"/>
    <w:rsid w:val="00B954D1"/>
    <w:rsid w:val="00B956BE"/>
    <w:rsid w:val="00B96054"/>
    <w:rsid w:val="00B96182"/>
    <w:rsid w:val="00B96244"/>
    <w:rsid w:val="00B96466"/>
    <w:rsid w:val="00B96589"/>
    <w:rsid w:val="00B967EE"/>
    <w:rsid w:val="00B96A94"/>
    <w:rsid w:val="00B96C46"/>
    <w:rsid w:val="00B96C59"/>
    <w:rsid w:val="00B96DAA"/>
    <w:rsid w:val="00B96DD5"/>
    <w:rsid w:val="00B97297"/>
    <w:rsid w:val="00B972B3"/>
    <w:rsid w:val="00B97574"/>
    <w:rsid w:val="00B975E6"/>
    <w:rsid w:val="00B97631"/>
    <w:rsid w:val="00B97812"/>
    <w:rsid w:val="00B979DA"/>
    <w:rsid w:val="00B97A7A"/>
    <w:rsid w:val="00B97AFD"/>
    <w:rsid w:val="00B97B2A"/>
    <w:rsid w:val="00B97D49"/>
    <w:rsid w:val="00B97F02"/>
    <w:rsid w:val="00B97FBF"/>
    <w:rsid w:val="00BA0058"/>
    <w:rsid w:val="00BA00C1"/>
    <w:rsid w:val="00BA054A"/>
    <w:rsid w:val="00BA05D3"/>
    <w:rsid w:val="00BA0709"/>
    <w:rsid w:val="00BA0845"/>
    <w:rsid w:val="00BA0964"/>
    <w:rsid w:val="00BA0C39"/>
    <w:rsid w:val="00BA114D"/>
    <w:rsid w:val="00BA1246"/>
    <w:rsid w:val="00BA1249"/>
    <w:rsid w:val="00BA12BB"/>
    <w:rsid w:val="00BA12DB"/>
    <w:rsid w:val="00BA13D9"/>
    <w:rsid w:val="00BA1423"/>
    <w:rsid w:val="00BA1559"/>
    <w:rsid w:val="00BA164D"/>
    <w:rsid w:val="00BA1704"/>
    <w:rsid w:val="00BA1A2F"/>
    <w:rsid w:val="00BA1D4D"/>
    <w:rsid w:val="00BA1DD8"/>
    <w:rsid w:val="00BA1E41"/>
    <w:rsid w:val="00BA1EA0"/>
    <w:rsid w:val="00BA1EB4"/>
    <w:rsid w:val="00BA2081"/>
    <w:rsid w:val="00BA21DB"/>
    <w:rsid w:val="00BA2266"/>
    <w:rsid w:val="00BA2363"/>
    <w:rsid w:val="00BA23ED"/>
    <w:rsid w:val="00BA25D0"/>
    <w:rsid w:val="00BA265F"/>
    <w:rsid w:val="00BA26F9"/>
    <w:rsid w:val="00BA272C"/>
    <w:rsid w:val="00BA28D9"/>
    <w:rsid w:val="00BA29C8"/>
    <w:rsid w:val="00BA29CC"/>
    <w:rsid w:val="00BA2B6D"/>
    <w:rsid w:val="00BA2BA0"/>
    <w:rsid w:val="00BA2C60"/>
    <w:rsid w:val="00BA2D7F"/>
    <w:rsid w:val="00BA2F7B"/>
    <w:rsid w:val="00BA30A4"/>
    <w:rsid w:val="00BA31DF"/>
    <w:rsid w:val="00BA32C4"/>
    <w:rsid w:val="00BA3354"/>
    <w:rsid w:val="00BA340D"/>
    <w:rsid w:val="00BA3429"/>
    <w:rsid w:val="00BA3461"/>
    <w:rsid w:val="00BA3469"/>
    <w:rsid w:val="00BA3476"/>
    <w:rsid w:val="00BA3597"/>
    <w:rsid w:val="00BA371A"/>
    <w:rsid w:val="00BA39A5"/>
    <w:rsid w:val="00BA3C31"/>
    <w:rsid w:val="00BA3CAC"/>
    <w:rsid w:val="00BA41B6"/>
    <w:rsid w:val="00BA420F"/>
    <w:rsid w:val="00BA4254"/>
    <w:rsid w:val="00BA43CB"/>
    <w:rsid w:val="00BA43D6"/>
    <w:rsid w:val="00BA43DE"/>
    <w:rsid w:val="00BA49BC"/>
    <w:rsid w:val="00BA4B8C"/>
    <w:rsid w:val="00BA4C4B"/>
    <w:rsid w:val="00BA4E92"/>
    <w:rsid w:val="00BA5075"/>
    <w:rsid w:val="00BA5686"/>
    <w:rsid w:val="00BA5703"/>
    <w:rsid w:val="00BA5783"/>
    <w:rsid w:val="00BA58A5"/>
    <w:rsid w:val="00BA5B0E"/>
    <w:rsid w:val="00BA5B2F"/>
    <w:rsid w:val="00BA5B99"/>
    <w:rsid w:val="00BA5C54"/>
    <w:rsid w:val="00BA5D06"/>
    <w:rsid w:val="00BA5D5E"/>
    <w:rsid w:val="00BA6113"/>
    <w:rsid w:val="00BA62DC"/>
    <w:rsid w:val="00BA6435"/>
    <w:rsid w:val="00BA6992"/>
    <w:rsid w:val="00BA6A89"/>
    <w:rsid w:val="00BA6B33"/>
    <w:rsid w:val="00BA6B85"/>
    <w:rsid w:val="00BA6C09"/>
    <w:rsid w:val="00BA7490"/>
    <w:rsid w:val="00BA758C"/>
    <w:rsid w:val="00BA75F1"/>
    <w:rsid w:val="00BA7707"/>
    <w:rsid w:val="00BA7711"/>
    <w:rsid w:val="00BA77A7"/>
    <w:rsid w:val="00BA7846"/>
    <w:rsid w:val="00BA78A0"/>
    <w:rsid w:val="00BA791F"/>
    <w:rsid w:val="00BA7F5B"/>
    <w:rsid w:val="00BB006B"/>
    <w:rsid w:val="00BB01E2"/>
    <w:rsid w:val="00BB0608"/>
    <w:rsid w:val="00BB0661"/>
    <w:rsid w:val="00BB06B8"/>
    <w:rsid w:val="00BB0707"/>
    <w:rsid w:val="00BB076B"/>
    <w:rsid w:val="00BB0828"/>
    <w:rsid w:val="00BB08E5"/>
    <w:rsid w:val="00BB0BEE"/>
    <w:rsid w:val="00BB0F3C"/>
    <w:rsid w:val="00BB0F6C"/>
    <w:rsid w:val="00BB0FA6"/>
    <w:rsid w:val="00BB10F9"/>
    <w:rsid w:val="00BB1564"/>
    <w:rsid w:val="00BB1591"/>
    <w:rsid w:val="00BB1819"/>
    <w:rsid w:val="00BB18CB"/>
    <w:rsid w:val="00BB1933"/>
    <w:rsid w:val="00BB19D9"/>
    <w:rsid w:val="00BB19F1"/>
    <w:rsid w:val="00BB1C14"/>
    <w:rsid w:val="00BB1F76"/>
    <w:rsid w:val="00BB20FB"/>
    <w:rsid w:val="00BB21E9"/>
    <w:rsid w:val="00BB25FE"/>
    <w:rsid w:val="00BB2743"/>
    <w:rsid w:val="00BB2A62"/>
    <w:rsid w:val="00BB2BF1"/>
    <w:rsid w:val="00BB2CE0"/>
    <w:rsid w:val="00BB2D2D"/>
    <w:rsid w:val="00BB2D8A"/>
    <w:rsid w:val="00BB2DE0"/>
    <w:rsid w:val="00BB34FF"/>
    <w:rsid w:val="00BB354E"/>
    <w:rsid w:val="00BB357C"/>
    <w:rsid w:val="00BB364D"/>
    <w:rsid w:val="00BB3685"/>
    <w:rsid w:val="00BB3B70"/>
    <w:rsid w:val="00BB3DB5"/>
    <w:rsid w:val="00BB3E53"/>
    <w:rsid w:val="00BB3EB2"/>
    <w:rsid w:val="00BB4050"/>
    <w:rsid w:val="00BB4069"/>
    <w:rsid w:val="00BB4281"/>
    <w:rsid w:val="00BB42D9"/>
    <w:rsid w:val="00BB4326"/>
    <w:rsid w:val="00BB45CE"/>
    <w:rsid w:val="00BB4839"/>
    <w:rsid w:val="00BB484E"/>
    <w:rsid w:val="00BB4A92"/>
    <w:rsid w:val="00BB5051"/>
    <w:rsid w:val="00BB50D1"/>
    <w:rsid w:val="00BB521C"/>
    <w:rsid w:val="00BB5413"/>
    <w:rsid w:val="00BB5439"/>
    <w:rsid w:val="00BB5861"/>
    <w:rsid w:val="00BB5912"/>
    <w:rsid w:val="00BB5B4E"/>
    <w:rsid w:val="00BB5BD6"/>
    <w:rsid w:val="00BB5D3A"/>
    <w:rsid w:val="00BB5EEF"/>
    <w:rsid w:val="00BB6019"/>
    <w:rsid w:val="00BB61C5"/>
    <w:rsid w:val="00BB6524"/>
    <w:rsid w:val="00BB666D"/>
    <w:rsid w:val="00BB67CB"/>
    <w:rsid w:val="00BB6815"/>
    <w:rsid w:val="00BB682D"/>
    <w:rsid w:val="00BB6844"/>
    <w:rsid w:val="00BB68D9"/>
    <w:rsid w:val="00BB69A0"/>
    <w:rsid w:val="00BB6CEB"/>
    <w:rsid w:val="00BB6FB3"/>
    <w:rsid w:val="00BB70A8"/>
    <w:rsid w:val="00BB726B"/>
    <w:rsid w:val="00BB72F7"/>
    <w:rsid w:val="00BB73B9"/>
    <w:rsid w:val="00BB7936"/>
    <w:rsid w:val="00BB7A92"/>
    <w:rsid w:val="00BB7ADE"/>
    <w:rsid w:val="00BB7B88"/>
    <w:rsid w:val="00BB7C02"/>
    <w:rsid w:val="00BB7E3A"/>
    <w:rsid w:val="00BB7FA4"/>
    <w:rsid w:val="00BC00D9"/>
    <w:rsid w:val="00BC0105"/>
    <w:rsid w:val="00BC016A"/>
    <w:rsid w:val="00BC01A2"/>
    <w:rsid w:val="00BC01C7"/>
    <w:rsid w:val="00BC0559"/>
    <w:rsid w:val="00BC05E9"/>
    <w:rsid w:val="00BC0793"/>
    <w:rsid w:val="00BC0921"/>
    <w:rsid w:val="00BC094B"/>
    <w:rsid w:val="00BC0A32"/>
    <w:rsid w:val="00BC0AD3"/>
    <w:rsid w:val="00BC0B5F"/>
    <w:rsid w:val="00BC0C30"/>
    <w:rsid w:val="00BC1053"/>
    <w:rsid w:val="00BC1403"/>
    <w:rsid w:val="00BC1466"/>
    <w:rsid w:val="00BC1480"/>
    <w:rsid w:val="00BC1555"/>
    <w:rsid w:val="00BC1AEE"/>
    <w:rsid w:val="00BC1CBD"/>
    <w:rsid w:val="00BC1CC4"/>
    <w:rsid w:val="00BC1DA0"/>
    <w:rsid w:val="00BC1F21"/>
    <w:rsid w:val="00BC207A"/>
    <w:rsid w:val="00BC20EC"/>
    <w:rsid w:val="00BC229A"/>
    <w:rsid w:val="00BC261F"/>
    <w:rsid w:val="00BC2664"/>
    <w:rsid w:val="00BC267F"/>
    <w:rsid w:val="00BC26D1"/>
    <w:rsid w:val="00BC29EF"/>
    <w:rsid w:val="00BC2F43"/>
    <w:rsid w:val="00BC2F6B"/>
    <w:rsid w:val="00BC3080"/>
    <w:rsid w:val="00BC312E"/>
    <w:rsid w:val="00BC3289"/>
    <w:rsid w:val="00BC34CF"/>
    <w:rsid w:val="00BC3597"/>
    <w:rsid w:val="00BC364B"/>
    <w:rsid w:val="00BC3770"/>
    <w:rsid w:val="00BC389E"/>
    <w:rsid w:val="00BC3936"/>
    <w:rsid w:val="00BC393A"/>
    <w:rsid w:val="00BC3B14"/>
    <w:rsid w:val="00BC3B7F"/>
    <w:rsid w:val="00BC40EE"/>
    <w:rsid w:val="00BC44E6"/>
    <w:rsid w:val="00BC4535"/>
    <w:rsid w:val="00BC46F0"/>
    <w:rsid w:val="00BC49FB"/>
    <w:rsid w:val="00BC4AEA"/>
    <w:rsid w:val="00BC4BA8"/>
    <w:rsid w:val="00BC4C44"/>
    <w:rsid w:val="00BC4C78"/>
    <w:rsid w:val="00BC4E3A"/>
    <w:rsid w:val="00BC4EED"/>
    <w:rsid w:val="00BC4FCA"/>
    <w:rsid w:val="00BC52D6"/>
    <w:rsid w:val="00BC546E"/>
    <w:rsid w:val="00BC54B7"/>
    <w:rsid w:val="00BC54E5"/>
    <w:rsid w:val="00BC5814"/>
    <w:rsid w:val="00BC59B4"/>
    <w:rsid w:val="00BC5EED"/>
    <w:rsid w:val="00BC5F0E"/>
    <w:rsid w:val="00BC6126"/>
    <w:rsid w:val="00BC63DC"/>
    <w:rsid w:val="00BC64BF"/>
    <w:rsid w:val="00BC652A"/>
    <w:rsid w:val="00BC65BB"/>
    <w:rsid w:val="00BC65D0"/>
    <w:rsid w:val="00BC6620"/>
    <w:rsid w:val="00BC6627"/>
    <w:rsid w:val="00BC664D"/>
    <w:rsid w:val="00BC6696"/>
    <w:rsid w:val="00BC6AC3"/>
    <w:rsid w:val="00BC6B37"/>
    <w:rsid w:val="00BC6DFF"/>
    <w:rsid w:val="00BC6EA5"/>
    <w:rsid w:val="00BC70D4"/>
    <w:rsid w:val="00BC7219"/>
    <w:rsid w:val="00BC75B1"/>
    <w:rsid w:val="00BC75B6"/>
    <w:rsid w:val="00BC760C"/>
    <w:rsid w:val="00BC7830"/>
    <w:rsid w:val="00BC7894"/>
    <w:rsid w:val="00BC7912"/>
    <w:rsid w:val="00BC79D4"/>
    <w:rsid w:val="00BC7B49"/>
    <w:rsid w:val="00BC7C63"/>
    <w:rsid w:val="00BC7E5C"/>
    <w:rsid w:val="00BC7F11"/>
    <w:rsid w:val="00BD0089"/>
    <w:rsid w:val="00BD00EF"/>
    <w:rsid w:val="00BD013C"/>
    <w:rsid w:val="00BD02D7"/>
    <w:rsid w:val="00BD05D4"/>
    <w:rsid w:val="00BD0624"/>
    <w:rsid w:val="00BD082D"/>
    <w:rsid w:val="00BD0A75"/>
    <w:rsid w:val="00BD0D19"/>
    <w:rsid w:val="00BD11CD"/>
    <w:rsid w:val="00BD1389"/>
    <w:rsid w:val="00BD18D5"/>
    <w:rsid w:val="00BD18E8"/>
    <w:rsid w:val="00BD1903"/>
    <w:rsid w:val="00BD1A23"/>
    <w:rsid w:val="00BD1AFC"/>
    <w:rsid w:val="00BD1DDC"/>
    <w:rsid w:val="00BD1E06"/>
    <w:rsid w:val="00BD20BC"/>
    <w:rsid w:val="00BD211B"/>
    <w:rsid w:val="00BD21CD"/>
    <w:rsid w:val="00BD21F6"/>
    <w:rsid w:val="00BD23F9"/>
    <w:rsid w:val="00BD2646"/>
    <w:rsid w:val="00BD2769"/>
    <w:rsid w:val="00BD2BE1"/>
    <w:rsid w:val="00BD2DB5"/>
    <w:rsid w:val="00BD2E2D"/>
    <w:rsid w:val="00BD30D4"/>
    <w:rsid w:val="00BD3314"/>
    <w:rsid w:val="00BD3367"/>
    <w:rsid w:val="00BD345B"/>
    <w:rsid w:val="00BD3475"/>
    <w:rsid w:val="00BD364E"/>
    <w:rsid w:val="00BD3713"/>
    <w:rsid w:val="00BD3846"/>
    <w:rsid w:val="00BD396A"/>
    <w:rsid w:val="00BD39A1"/>
    <w:rsid w:val="00BD39D5"/>
    <w:rsid w:val="00BD3CA9"/>
    <w:rsid w:val="00BD3D26"/>
    <w:rsid w:val="00BD3EB7"/>
    <w:rsid w:val="00BD3FC0"/>
    <w:rsid w:val="00BD4086"/>
    <w:rsid w:val="00BD447C"/>
    <w:rsid w:val="00BD4D98"/>
    <w:rsid w:val="00BD4EB7"/>
    <w:rsid w:val="00BD509D"/>
    <w:rsid w:val="00BD5824"/>
    <w:rsid w:val="00BD583B"/>
    <w:rsid w:val="00BD5B37"/>
    <w:rsid w:val="00BD5C27"/>
    <w:rsid w:val="00BD5DDD"/>
    <w:rsid w:val="00BD609F"/>
    <w:rsid w:val="00BD616B"/>
    <w:rsid w:val="00BD6182"/>
    <w:rsid w:val="00BD6203"/>
    <w:rsid w:val="00BD62EA"/>
    <w:rsid w:val="00BD65B2"/>
    <w:rsid w:val="00BD686B"/>
    <w:rsid w:val="00BD68AD"/>
    <w:rsid w:val="00BD68E2"/>
    <w:rsid w:val="00BD6E13"/>
    <w:rsid w:val="00BD6F80"/>
    <w:rsid w:val="00BD6FD0"/>
    <w:rsid w:val="00BD743B"/>
    <w:rsid w:val="00BD7476"/>
    <w:rsid w:val="00BD7772"/>
    <w:rsid w:val="00BD77F9"/>
    <w:rsid w:val="00BD7818"/>
    <w:rsid w:val="00BD7D18"/>
    <w:rsid w:val="00BE018F"/>
    <w:rsid w:val="00BE0467"/>
    <w:rsid w:val="00BE0663"/>
    <w:rsid w:val="00BE0689"/>
    <w:rsid w:val="00BE08F2"/>
    <w:rsid w:val="00BE0B70"/>
    <w:rsid w:val="00BE0D56"/>
    <w:rsid w:val="00BE0DFB"/>
    <w:rsid w:val="00BE0F50"/>
    <w:rsid w:val="00BE0FFC"/>
    <w:rsid w:val="00BE122D"/>
    <w:rsid w:val="00BE16BD"/>
    <w:rsid w:val="00BE1783"/>
    <w:rsid w:val="00BE1833"/>
    <w:rsid w:val="00BE1BDC"/>
    <w:rsid w:val="00BE1C87"/>
    <w:rsid w:val="00BE1D1C"/>
    <w:rsid w:val="00BE237D"/>
    <w:rsid w:val="00BE23E6"/>
    <w:rsid w:val="00BE2468"/>
    <w:rsid w:val="00BE24E6"/>
    <w:rsid w:val="00BE24F5"/>
    <w:rsid w:val="00BE2584"/>
    <w:rsid w:val="00BE2593"/>
    <w:rsid w:val="00BE25E5"/>
    <w:rsid w:val="00BE261A"/>
    <w:rsid w:val="00BE26A1"/>
    <w:rsid w:val="00BE2919"/>
    <w:rsid w:val="00BE2948"/>
    <w:rsid w:val="00BE2987"/>
    <w:rsid w:val="00BE2A1F"/>
    <w:rsid w:val="00BE2A50"/>
    <w:rsid w:val="00BE2AA2"/>
    <w:rsid w:val="00BE2B07"/>
    <w:rsid w:val="00BE2B68"/>
    <w:rsid w:val="00BE2BED"/>
    <w:rsid w:val="00BE2D4C"/>
    <w:rsid w:val="00BE2D9D"/>
    <w:rsid w:val="00BE2E31"/>
    <w:rsid w:val="00BE2FAD"/>
    <w:rsid w:val="00BE324D"/>
    <w:rsid w:val="00BE341F"/>
    <w:rsid w:val="00BE3438"/>
    <w:rsid w:val="00BE391D"/>
    <w:rsid w:val="00BE3926"/>
    <w:rsid w:val="00BE3B29"/>
    <w:rsid w:val="00BE3CD3"/>
    <w:rsid w:val="00BE3D10"/>
    <w:rsid w:val="00BE41B2"/>
    <w:rsid w:val="00BE4374"/>
    <w:rsid w:val="00BE438A"/>
    <w:rsid w:val="00BE44C8"/>
    <w:rsid w:val="00BE45A5"/>
    <w:rsid w:val="00BE4656"/>
    <w:rsid w:val="00BE48F6"/>
    <w:rsid w:val="00BE4A34"/>
    <w:rsid w:val="00BE4A49"/>
    <w:rsid w:val="00BE4A72"/>
    <w:rsid w:val="00BE4B88"/>
    <w:rsid w:val="00BE4D93"/>
    <w:rsid w:val="00BE4DD6"/>
    <w:rsid w:val="00BE51C8"/>
    <w:rsid w:val="00BE5203"/>
    <w:rsid w:val="00BE5372"/>
    <w:rsid w:val="00BE5529"/>
    <w:rsid w:val="00BE565B"/>
    <w:rsid w:val="00BE5B74"/>
    <w:rsid w:val="00BE5C32"/>
    <w:rsid w:val="00BE5C80"/>
    <w:rsid w:val="00BE652D"/>
    <w:rsid w:val="00BE656F"/>
    <w:rsid w:val="00BE668F"/>
    <w:rsid w:val="00BE67CB"/>
    <w:rsid w:val="00BE68F2"/>
    <w:rsid w:val="00BE6A6A"/>
    <w:rsid w:val="00BE6ADB"/>
    <w:rsid w:val="00BE6C91"/>
    <w:rsid w:val="00BE6DF1"/>
    <w:rsid w:val="00BE6FBB"/>
    <w:rsid w:val="00BE7288"/>
    <w:rsid w:val="00BE73E8"/>
    <w:rsid w:val="00BE76E9"/>
    <w:rsid w:val="00BE7964"/>
    <w:rsid w:val="00BE7B36"/>
    <w:rsid w:val="00BE7B86"/>
    <w:rsid w:val="00BE7C0B"/>
    <w:rsid w:val="00BE7DBF"/>
    <w:rsid w:val="00BE7EA8"/>
    <w:rsid w:val="00BE7FC8"/>
    <w:rsid w:val="00BF004F"/>
    <w:rsid w:val="00BF00C9"/>
    <w:rsid w:val="00BF01FF"/>
    <w:rsid w:val="00BF031B"/>
    <w:rsid w:val="00BF064B"/>
    <w:rsid w:val="00BF0698"/>
    <w:rsid w:val="00BF06E5"/>
    <w:rsid w:val="00BF0D6F"/>
    <w:rsid w:val="00BF0DC6"/>
    <w:rsid w:val="00BF0E1F"/>
    <w:rsid w:val="00BF0EE0"/>
    <w:rsid w:val="00BF1069"/>
    <w:rsid w:val="00BF1355"/>
    <w:rsid w:val="00BF1439"/>
    <w:rsid w:val="00BF1888"/>
    <w:rsid w:val="00BF18A0"/>
    <w:rsid w:val="00BF19DB"/>
    <w:rsid w:val="00BF19EF"/>
    <w:rsid w:val="00BF1B26"/>
    <w:rsid w:val="00BF1BE6"/>
    <w:rsid w:val="00BF1C4C"/>
    <w:rsid w:val="00BF1C76"/>
    <w:rsid w:val="00BF2052"/>
    <w:rsid w:val="00BF20B7"/>
    <w:rsid w:val="00BF20BA"/>
    <w:rsid w:val="00BF225E"/>
    <w:rsid w:val="00BF249C"/>
    <w:rsid w:val="00BF26F8"/>
    <w:rsid w:val="00BF2713"/>
    <w:rsid w:val="00BF2733"/>
    <w:rsid w:val="00BF2925"/>
    <w:rsid w:val="00BF2DAF"/>
    <w:rsid w:val="00BF2F2B"/>
    <w:rsid w:val="00BF2FF8"/>
    <w:rsid w:val="00BF300C"/>
    <w:rsid w:val="00BF302F"/>
    <w:rsid w:val="00BF353D"/>
    <w:rsid w:val="00BF36C6"/>
    <w:rsid w:val="00BF379C"/>
    <w:rsid w:val="00BF386B"/>
    <w:rsid w:val="00BF39AE"/>
    <w:rsid w:val="00BF3B98"/>
    <w:rsid w:val="00BF3C8E"/>
    <w:rsid w:val="00BF3CF9"/>
    <w:rsid w:val="00BF3D4F"/>
    <w:rsid w:val="00BF40AE"/>
    <w:rsid w:val="00BF4165"/>
    <w:rsid w:val="00BF430E"/>
    <w:rsid w:val="00BF454D"/>
    <w:rsid w:val="00BF46B0"/>
    <w:rsid w:val="00BF46E2"/>
    <w:rsid w:val="00BF48D2"/>
    <w:rsid w:val="00BF48E8"/>
    <w:rsid w:val="00BF4A9F"/>
    <w:rsid w:val="00BF4AC0"/>
    <w:rsid w:val="00BF4B5D"/>
    <w:rsid w:val="00BF4C34"/>
    <w:rsid w:val="00BF4DBC"/>
    <w:rsid w:val="00BF4E09"/>
    <w:rsid w:val="00BF4EA7"/>
    <w:rsid w:val="00BF53E4"/>
    <w:rsid w:val="00BF5498"/>
    <w:rsid w:val="00BF5672"/>
    <w:rsid w:val="00BF56E1"/>
    <w:rsid w:val="00BF5703"/>
    <w:rsid w:val="00BF572D"/>
    <w:rsid w:val="00BF57C9"/>
    <w:rsid w:val="00BF5815"/>
    <w:rsid w:val="00BF5871"/>
    <w:rsid w:val="00BF5E6D"/>
    <w:rsid w:val="00BF5E99"/>
    <w:rsid w:val="00BF5EE3"/>
    <w:rsid w:val="00BF60AE"/>
    <w:rsid w:val="00BF64A8"/>
    <w:rsid w:val="00BF65A5"/>
    <w:rsid w:val="00BF6683"/>
    <w:rsid w:val="00BF683E"/>
    <w:rsid w:val="00BF684E"/>
    <w:rsid w:val="00BF6C03"/>
    <w:rsid w:val="00BF6D89"/>
    <w:rsid w:val="00BF6EF4"/>
    <w:rsid w:val="00BF7015"/>
    <w:rsid w:val="00BF72DA"/>
    <w:rsid w:val="00BF73C3"/>
    <w:rsid w:val="00BF74D9"/>
    <w:rsid w:val="00BF782E"/>
    <w:rsid w:val="00BF7A89"/>
    <w:rsid w:val="00BF7AE6"/>
    <w:rsid w:val="00BF7C2C"/>
    <w:rsid w:val="00BF7CD5"/>
    <w:rsid w:val="00C0001E"/>
    <w:rsid w:val="00C00180"/>
    <w:rsid w:val="00C0033F"/>
    <w:rsid w:val="00C007FB"/>
    <w:rsid w:val="00C009C9"/>
    <w:rsid w:val="00C00B72"/>
    <w:rsid w:val="00C00EE3"/>
    <w:rsid w:val="00C010EB"/>
    <w:rsid w:val="00C010F9"/>
    <w:rsid w:val="00C0123B"/>
    <w:rsid w:val="00C013D8"/>
    <w:rsid w:val="00C0158B"/>
    <w:rsid w:val="00C01757"/>
    <w:rsid w:val="00C0182D"/>
    <w:rsid w:val="00C01D97"/>
    <w:rsid w:val="00C01DFD"/>
    <w:rsid w:val="00C0207E"/>
    <w:rsid w:val="00C022F2"/>
    <w:rsid w:val="00C0261B"/>
    <w:rsid w:val="00C02667"/>
    <w:rsid w:val="00C027B5"/>
    <w:rsid w:val="00C027FC"/>
    <w:rsid w:val="00C02F8B"/>
    <w:rsid w:val="00C0304E"/>
    <w:rsid w:val="00C03131"/>
    <w:rsid w:val="00C03267"/>
    <w:rsid w:val="00C032CE"/>
    <w:rsid w:val="00C03342"/>
    <w:rsid w:val="00C033C2"/>
    <w:rsid w:val="00C0358D"/>
    <w:rsid w:val="00C0359E"/>
    <w:rsid w:val="00C0365E"/>
    <w:rsid w:val="00C03731"/>
    <w:rsid w:val="00C03E4C"/>
    <w:rsid w:val="00C03E97"/>
    <w:rsid w:val="00C03ED9"/>
    <w:rsid w:val="00C03F62"/>
    <w:rsid w:val="00C03FB5"/>
    <w:rsid w:val="00C04068"/>
    <w:rsid w:val="00C04144"/>
    <w:rsid w:val="00C0421E"/>
    <w:rsid w:val="00C04656"/>
    <w:rsid w:val="00C04748"/>
    <w:rsid w:val="00C0475E"/>
    <w:rsid w:val="00C048DC"/>
    <w:rsid w:val="00C04BA5"/>
    <w:rsid w:val="00C04CB3"/>
    <w:rsid w:val="00C04CD7"/>
    <w:rsid w:val="00C04E99"/>
    <w:rsid w:val="00C04EE2"/>
    <w:rsid w:val="00C04F71"/>
    <w:rsid w:val="00C04F88"/>
    <w:rsid w:val="00C051E1"/>
    <w:rsid w:val="00C052C3"/>
    <w:rsid w:val="00C0562A"/>
    <w:rsid w:val="00C0579F"/>
    <w:rsid w:val="00C057F4"/>
    <w:rsid w:val="00C05929"/>
    <w:rsid w:val="00C05978"/>
    <w:rsid w:val="00C0599E"/>
    <w:rsid w:val="00C059B1"/>
    <w:rsid w:val="00C05AAC"/>
    <w:rsid w:val="00C05CFB"/>
    <w:rsid w:val="00C0605C"/>
    <w:rsid w:val="00C060D2"/>
    <w:rsid w:val="00C061D9"/>
    <w:rsid w:val="00C06243"/>
    <w:rsid w:val="00C063A5"/>
    <w:rsid w:val="00C063BF"/>
    <w:rsid w:val="00C06568"/>
    <w:rsid w:val="00C0658F"/>
    <w:rsid w:val="00C06594"/>
    <w:rsid w:val="00C06664"/>
    <w:rsid w:val="00C06758"/>
    <w:rsid w:val="00C067D8"/>
    <w:rsid w:val="00C0685A"/>
    <w:rsid w:val="00C06AC2"/>
    <w:rsid w:val="00C06C02"/>
    <w:rsid w:val="00C06DD2"/>
    <w:rsid w:val="00C0707B"/>
    <w:rsid w:val="00C07099"/>
    <w:rsid w:val="00C0723F"/>
    <w:rsid w:val="00C073AB"/>
    <w:rsid w:val="00C074B2"/>
    <w:rsid w:val="00C07B32"/>
    <w:rsid w:val="00C07DC8"/>
    <w:rsid w:val="00C07EB7"/>
    <w:rsid w:val="00C07EE2"/>
    <w:rsid w:val="00C1009A"/>
    <w:rsid w:val="00C102E2"/>
    <w:rsid w:val="00C1044F"/>
    <w:rsid w:val="00C10732"/>
    <w:rsid w:val="00C109DB"/>
    <w:rsid w:val="00C10C13"/>
    <w:rsid w:val="00C10C42"/>
    <w:rsid w:val="00C10DF9"/>
    <w:rsid w:val="00C1129F"/>
    <w:rsid w:val="00C1135D"/>
    <w:rsid w:val="00C1152C"/>
    <w:rsid w:val="00C115EF"/>
    <w:rsid w:val="00C11750"/>
    <w:rsid w:val="00C11885"/>
    <w:rsid w:val="00C11AC2"/>
    <w:rsid w:val="00C11CC4"/>
    <w:rsid w:val="00C11CDB"/>
    <w:rsid w:val="00C11F22"/>
    <w:rsid w:val="00C12321"/>
    <w:rsid w:val="00C12551"/>
    <w:rsid w:val="00C126C2"/>
    <w:rsid w:val="00C12771"/>
    <w:rsid w:val="00C127B3"/>
    <w:rsid w:val="00C12904"/>
    <w:rsid w:val="00C12951"/>
    <w:rsid w:val="00C12ABE"/>
    <w:rsid w:val="00C12ACF"/>
    <w:rsid w:val="00C12CA9"/>
    <w:rsid w:val="00C1306A"/>
    <w:rsid w:val="00C131A1"/>
    <w:rsid w:val="00C13213"/>
    <w:rsid w:val="00C1324A"/>
    <w:rsid w:val="00C13579"/>
    <w:rsid w:val="00C136C9"/>
    <w:rsid w:val="00C137E6"/>
    <w:rsid w:val="00C13857"/>
    <w:rsid w:val="00C1398F"/>
    <w:rsid w:val="00C13B7D"/>
    <w:rsid w:val="00C13C2C"/>
    <w:rsid w:val="00C13CA3"/>
    <w:rsid w:val="00C13CB6"/>
    <w:rsid w:val="00C13EFB"/>
    <w:rsid w:val="00C1404F"/>
    <w:rsid w:val="00C1407D"/>
    <w:rsid w:val="00C1421E"/>
    <w:rsid w:val="00C14256"/>
    <w:rsid w:val="00C1440D"/>
    <w:rsid w:val="00C14463"/>
    <w:rsid w:val="00C146BB"/>
    <w:rsid w:val="00C147FC"/>
    <w:rsid w:val="00C14973"/>
    <w:rsid w:val="00C1498A"/>
    <w:rsid w:val="00C14AB3"/>
    <w:rsid w:val="00C14DC2"/>
    <w:rsid w:val="00C14E81"/>
    <w:rsid w:val="00C154E0"/>
    <w:rsid w:val="00C155D6"/>
    <w:rsid w:val="00C15639"/>
    <w:rsid w:val="00C15711"/>
    <w:rsid w:val="00C15714"/>
    <w:rsid w:val="00C15759"/>
    <w:rsid w:val="00C15941"/>
    <w:rsid w:val="00C159C6"/>
    <w:rsid w:val="00C15B4A"/>
    <w:rsid w:val="00C15B76"/>
    <w:rsid w:val="00C15C92"/>
    <w:rsid w:val="00C15EEE"/>
    <w:rsid w:val="00C16072"/>
    <w:rsid w:val="00C1617E"/>
    <w:rsid w:val="00C163EB"/>
    <w:rsid w:val="00C166E5"/>
    <w:rsid w:val="00C16768"/>
    <w:rsid w:val="00C16AB8"/>
    <w:rsid w:val="00C16DEB"/>
    <w:rsid w:val="00C16FDE"/>
    <w:rsid w:val="00C1702B"/>
    <w:rsid w:val="00C17072"/>
    <w:rsid w:val="00C1712E"/>
    <w:rsid w:val="00C1729D"/>
    <w:rsid w:val="00C1748C"/>
    <w:rsid w:val="00C175AE"/>
    <w:rsid w:val="00C1762B"/>
    <w:rsid w:val="00C178A5"/>
    <w:rsid w:val="00C179B0"/>
    <w:rsid w:val="00C17A49"/>
    <w:rsid w:val="00C17BB4"/>
    <w:rsid w:val="00C17CAB"/>
    <w:rsid w:val="00C17ECF"/>
    <w:rsid w:val="00C201CC"/>
    <w:rsid w:val="00C2046B"/>
    <w:rsid w:val="00C204BE"/>
    <w:rsid w:val="00C2050A"/>
    <w:rsid w:val="00C2062F"/>
    <w:rsid w:val="00C206C1"/>
    <w:rsid w:val="00C207E9"/>
    <w:rsid w:val="00C209F1"/>
    <w:rsid w:val="00C20CA9"/>
    <w:rsid w:val="00C20E5C"/>
    <w:rsid w:val="00C20E9B"/>
    <w:rsid w:val="00C20F59"/>
    <w:rsid w:val="00C2120A"/>
    <w:rsid w:val="00C21231"/>
    <w:rsid w:val="00C21273"/>
    <w:rsid w:val="00C21392"/>
    <w:rsid w:val="00C21428"/>
    <w:rsid w:val="00C2150D"/>
    <w:rsid w:val="00C21520"/>
    <w:rsid w:val="00C21552"/>
    <w:rsid w:val="00C215E4"/>
    <w:rsid w:val="00C2166B"/>
    <w:rsid w:val="00C21745"/>
    <w:rsid w:val="00C2176A"/>
    <w:rsid w:val="00C21A12"/>
    <w:rsid w:val="00C21A3A"/>
    <w:rsid w:val="00C21A55"/>
    <w:rsid w:val="00C21CE6"/>
    <w:rsid w:val="00C21CF8"/>
    <w:rsid w:val="00C22185"/>
    <w:rsid w:val="00C2222D"/>
    <w:rsid w:val="00C2267E"/>
    <w:rsid w:val="00C2288D"/>
    <w:rsid w:val="00C22BE5"/>
    <w:rsid w:val="00C22C91"/>
    <w:rsid w:val="00C22DDF"/>
    <w:rsid w:val="00C22F1D"/>
    <w:rsid w:val="00C22F46"/>
    <w:rsid w:val="00C23047"/>
    <w:rsid w:val="00C23064"/>
    <w:rsid w:val="00C23079"/>
    <w:rsid w:val="00C2307D"/>
    <w:rsid w:val="00C23097"/>
    <w:rsid w:val="00C230D6"/>
    <w:rsid w:val="00C2313A"/>
    <w:rsid w:val="00C23394"/>
    <w:rsid w:val="00C2358F"/>
    <w:rsid w:val="00C23602"/>
    <w:rsid w:val="00C239C9"/>
    <w:rsid w:val="00C23A26"/>
    <w:rsid w:val="00C24003"/>
    <w:rsid w:val="00C240D0"/>
    <w:rsid w:val="00C24146"/>
    <w:rsid w:val="00C24345"/>
    <w:rsid w:val="00C24376"/>
    <w:rsid w:val="00C2464A"/>
    <w:rsid w:val="00C248F5"/>
    <w:rsid w:val="00C249EF"/>
    <w:rsid w:val="00C24A17"/>
    <w:rsid w:val="00C24C27"/>
    <w:rsid w:val="00C24C4B"/>
    <w:rsid w:val="00C24D56"/>
    <w:rsid w:val="00C24F23"/>
    <w:rsid w:val="00C24FCD"/>
    <w:rsid w:val="00C2532D"/>
    <w:rsid w:val="00C253C4"/>
    <w:rsid w:val="00C2547C"/>
    <w:rsid w:val="00C255CE"/>
    <w:rsid w:val="00C25646"/>
    <w:rsid w:val="00C25819"/>
    <w:rsid w:val="00C259EF"/>
    <w:rsid w:val="00C25BDF"/>
    <w:rsid w:val="00C25CFC"/>
    <w:rsid w:val="00C25E03"/>
    <w:rsid w:val="00C25E0D"/>
    <w:rsid w:val="00C25E6F"/>
    <w:rsid w:val="00C25FD8"/>
    <w:rsid w:val="00C260DF"/>
    <w:rsid w:val="00C2611C"/>
    <w:rsid w:val="00C26191"/>
    <w:rsid w:val="00C262F8"/>
    <w:rsid w:val="00C265ED"/>
    <w:rsid w:val="00C26711"/>
    <w:rsid w:val="00C269A6"/>
    <w:rsid w:val="00C26A46"/>
    <w:rsid w:val="00C26AAB"/>
    <w:rsid w:val="00C26B59"/>
    <w:rsid w:val="00C26CEB"/>
    <w:rsid w:val="00C26D5A"/>
    <w:rsid w:val="00C26DC2"/>
    <w:rsid w:val="00C270F3"/>
    <w:rsid w:val="00C27118"/>
    <w:rsid w:val="00C27692"/>
    <w:rsid w:val="00C27717"/>
    <w:rsid w:val="00C277FA"/>
    <w:rsid w:val="00C27886"/>
    <w:rsid w:val="00C2791D"/>
    <w:rsid w:val="00C27AB4"/>
    <w:rsid w:val="00C27AC5"/>
    <w:rsid w:val="00C27E72"/>
    <w:rsid w:val="00C27F1F"/>
    <w:rsid w:val="00C30024"/>
    <w:rsid w:val="00C30046"/>
    <w:rsid w:val="00C30135"/>
    <w:rsid w:val="00C30486"/>
    <w:rsid w:val="00C307BF"/>
    <w:rsid w:val="00C30893"/>
    <w:rsid w:val="00C3094D"/>
    <w:rsid w:val="00C30AC8"/>
    <w:rsid w:val="00C30B02"/>
    <w:rsid w:val="00C30DAD"/>
    <w:rsid w:val="00C30FAE"/>
    <w:rsid w:val="00C31005"/>
    <w:rsid w:val="00C310DB"/>
    <w:rsid w:val="00C3112C"/>
    <w:rsid w:val="00C31136"/>
    <w:rsid w:val="00C31204"/>
    <w:rsid w:val="00C312BD"/>
    <w:rsid w:val="00C3196F"/>
    <w:rsid w:val="00C31992"/>
    <w:rsid w:val="00C319DA"/>
    <w:rsid w:val="00C31A40"/>
    <w:rsid w:val="00C31B8F"/>
    <w:rsid w:val="00C31B95"/>
    <w:rsid w:val="00C31EBA"/>
    <w:rsid w:val="00C31F84"/>
    <w:rsid w:val="00C31FCD"/>
    <w:rsid w:val="00C32001"/>
    <w:rsid w:val="00C321C0"/>
    <w:rsid w:val="00C322F2"/>
    <w:rsid w:val="00C32528"/>
    <w:rsid w:val="00C328F1"/>
    <w:rsid w:val="00C32A4E"/>
    <w:rsid w:val="00C32AD9"/>
    <w:rsid w:val="00C32B4C"/>
    <w:rsid w:val="00C32B71"/>
    <w:rsid w:val="00C32B74"/>
    <w:rsid w:val="00C32C36"/>
    <w:rsid w:val="00C32CAF"/>
    <w:rsid w:val="00C32CFA"/>
    <w:rsid w:val="00C32DED"/>
    <w:rsid w:val="00C32E2A"/>
    <w:rsid w:val="00C32ED4"/>
    <w:rsid w:val="00C32FC8"/>
    <w:rsid w:val="00C331AF"/>
    <w:rsid w:val="00C33648"/>
    <w:rsid w:val="00C3367A"/>
    <w:rsid w:val="00C336B7"/>
    <w:rsid w:val="00C336E0"/>
    <w:rsid w:val="00C338DB"/>
    <w:rsid w:val="00C33D22"/>
    <w:rsid w:val="00C33E80"/>
    <w:rsid w:val="00C33F11"/>
    <w:rsid w:val="00C34154"/>
    <w:rsid w:val="00C3450B"/>
    <w:rsid w:val="00C345A5"/>
    <w:rsid w:val="00C3474C"/>
    <w:rsid w:val="00C34834"/>
    <w:rsid w:val="00C3499E"/>
    <w:rsid w:val="00C34A56"/>
    <w:rsid w:val="00C34B69"/>
    <w:rsid w:val="00C34B7B"/>
    <w:rsid w:val="00C34C70"/>
    <w:rsid w:val="00C34CA7"/>
    <w:rsid w:val="00C34CD6"/>
    <w:rsid w:val="00C34E8C"/>
    <w:rsid w:val="00C3561B"/>
    <w:rsid w:val="00C356A1"/>
    <w:rsid w:val="00C35D53"/>
    <w:rsid w:val="00C35EDC"/>
    <w:rsid w:val="00C35FD4"/>
    <w:rsid w:val="00C36075"/>
    <w:rsid w:val="00C360C4"/>
    <w:rsid w:val="00C36312"/>
    <w:rsid w:val="00C36704"/>
    <w:rsid w:val="00C36720"/>
    <w:rsid w:val="00C367C9"/>
    <w:rsid w:val="00C36C65"/>
    <w:rsid w:val="00C36F71"/>
    <w:rsid w:val="00C370E8"/>
    <w:rsid w:val="00C37244"/>
    <w:rsid w:val="00C3739C"/>
    <w:rsid w:val="00C37403"/>
    <w:rsid w:val="00C3741E"/>
    <w:rsid w:val="00C37518"/>
    <w:rsid w:val="00C37685"/>
    <w:rsid w:val="00C37736"/>
    <w:rsid w:val="00C377A8"/>
    <w:rsid w:val="00C37C27"/>
    <w:rsid w:val="00C37D33"/>
    <w:rsid w:val="00C37D84"/>
    <w:rsid w:val="00C37D91"/>
    <w:rsid w:val="00C40034"/>
    <w:rsid w:val="00C403FD"/>
    <w:rsid w:val="00C40586"/>
    <w:rsid w:val="00C406EF"/>
    <w:rsid w:val="00C4074A"/>
    <w:rsid w:val="00C407EE"/>
    <w:rsid w:val="00C407F0"/>
    <w:rsid w:val="00C40848"/>
    <w:rsid w:val="00C40889"/>
    <w:rsid w:val="00C40BCA"/>
    <w:rsid w:val="00C40CB0"/>
    <w:rsid w:val="00C40CCF"/>
    <w:rsid w:val="00C40F32"/>
    <w:rsid w:val="00C40FC9"/>
    <w:rsid w:val="00C4121C"/>
    <w:rsid w:val="00C4129A"/>
    <w:rsid w:val="00C41408"/>
    <w:rsid w:val="00C415C6"/>
    <w:rsid w:val="00C41681"/>
    <w:rsid w:val="00C419D5"/>
    <w:rsid w:val="00C41A47"/>
    <w:rsid w:val="00C41A53"/>
    <w:rsid w:val="00C41C36"/>
    <w:rsid w:val="00C41DA1"/>
    <w:rsid w:val="00C41E8E"/>
    <w:rsid w:val="00C41F70"/>
    <w:rsid w:val="00C42081"/>
    <w:rsid w:val="00C421D0"/>
    <w:rsid w:val="00C422D5"/>
    <w:rsid w:val="00C4249E"/>
    <w:rsid w:val="00C42705"/>
    <w:rsid w:val="00C42A31"/>
    <w:rsid w:val="00C42C2F"/>
    <w:rsid w:val="00C42E2F"/>
    <w:rsid w:val="00C42E4B"/>
    <w:rsid w:val="00C42F86"/>
    <w:rsid w:val="00C42FE6"/>
    <w:rsid w:val="00C43446"/>
    <w:rsid w:val="00C43646"/>
    <w:rsid w:val="00C436C4"/>
    <w:rsid w:val="00C436CF"/>
    <w:rsid w:val="00C43702"/>
    <w:rsid w:val="00C4372C"/>
    <w:rsid w:val="00C43954"/>
    <w:rsid w:val="00C43AA2"/>
    <w:rsid w:val="00C43B6C"/>
    <w:rsid w:val="00C43C17"/>
    <w:rsid w:val="00C43C46"/>
    <w:rsid w:val="00C43CD4"/>
    <w:rsid w:val="00C43E60"/>
    <w:rsid w:val="00C43EC7"/>
    <w:rsid w:val="00C43F38"/>
    <w:rsid w:val="00C43FAB"/>
    <w:rsid w:val="00C43FE4"/>
    <w:rsid w:val="00C43FF8"/>
    <w:rsid w:val="00C441E2"/>
    <w:rsid w:val="00C442D9"/>
    <w:rsid w:val="00C44322"/>
    <w:rsid w:val="00C444E2"/>
    <w:rsid w:val="00C444F2"/>
    <w:rsid w:val="00C44560"/>
    <w:rsid w:val="00C44624"/>
    <w:rsid w:val="00C44689"/>
    <w:rsid w:val="00C447FB"/>
    <w:rsid w:val="00C448EF"/>
    <w:rsid w:val="00C4494E"/>
    <w:rsid w:val="00C44D5B"/>
    <w:rsid w:val="00C44DCE"/>
    <w:rsid w:val="00C44DE5"/>
    <w:rsid w:val="00C44E48"/>
    <w:rsid w:val="00C44EF7"/>
    <w:rsid w:val="00C44FB7"/>
    <w:rsid w:val="00C452E3"/>
    <w:rsid w:val="00C45301"/>
    <w:rsid w:val="00C4530C"/>
    <w:rsid w:val="00C45345"/>
    <w:rsid w:val="00C455B0"/>
    <w:rsid w:val="00C458D3"/>
    <w:rsid w:val="00C459C5"/>
    <w:rsid w:val="00C45E15"/>
    <w:rsid w:val="00C45E24"/>
    <w:rsid w:val="00C45ED4"/>
    <w:rsid w:val="00C4606D"/>
    <w:rsid w:val="00C46399"/>
    <w:rsid w:val="00C4644D"/>
    <w:rsid w:val="00C464F4"/>
    <w:rsid w:val="00C46654"/>
    <w:rsid w:val="00C46B37"/>
    <w:rsid w:val="00C46C47"/>
    <w:rsid w:val="00C46D4A"/>
    <w:rsid w:val="00C46EEA"/>
    <w:rsid w:val="00C46F43"/>
    <w:rsid w:val="00C46F50"/>
    <w:rsid w:val="00C4706E"/>
    <w:rsid w:val="00C4713D"/>
    <w:rsid w:val="00C4726E"/>
    <w:rsid w:val="00C47305"/>
    <w:rsid w:val="00C47438"/>
    <w:rsid w:val="00C474EF"/>
    <w:rsid w:val="00C47665"/>
    <w:rsid w:val="00C47678"/>
    <w:rsid w:val="00C47976"/>
    <w:rsid w:val="00C47AB4"/>
    <w:rsid w:val="00C47B9A"/>
    <w:rsid w:val="00C47FB3"/>
    <w:rsid w:val="00C50006"/>
    <w:rsid w:val="00C50038"/>
    <w:rsid w:val="00C501AD"/>
    <w:rsid w:val="00C50298"/>
    <w:rsid w:val="00C502E6"/>
    <w:rsid w:val="00C50308"/>
    <w:rsid w:val="00C50403"/>
    <w:rsid w:val="00C504AC"/>
    <w:rsid w:val="00C5051B"/>
    <w:rsid w:val="00C50588"/>
    <w:rsid w:val="00C505CC"/>
    <w:rsid w:val="00C5066B"/>
    <w:rsid w:val="00C506DE"/>
    <w:rsid w:val="00C50787"/>
    <w:rsid w:val="00C50863"/>
    <w:rsid w:val="00C509B7"/>
    <w:rsid w:val="00C50A49"/>
    <w:rsid w:val="00C50E97"/>
    <w:rsid w:val="00C511EC"/>
    <w:rsid w:val="00C511F8"/>
    <w:rsid w:val="00C5132C"/>
    <w:rsid w:val="00C51B7D"/>
    <w:rsid w:val="00C51C97"/>
    <w:rsid w:val="00C51D67"/>
    <w:rsid w:val="00C52019"/>
    <w:rsid w:val="00C52597"/>
    <w:rsid w:val="00C52852"/>
    <w:rsid w:val="00C52999"/>
    <w:rsid w:val="00C52B7E"/>
    <w:rsid w:val="00C52C32"/>
    <w:rsid w:val="00C52D3B"/>
    <w:rsid w:val="00C52F1F"/>
    <w:rsid w:val="00C531EF"/>
    <w:rsid w:val="00C53351"/>
    <w:rsid w:val="00C533A8"/>
    <w:rsid w:val="00C5351E"/>
    <w:rsid w:val="00C535B3"/>
    <w:rsid w:val="00C53726"/>
    <w:rsid w:val="00C539BA"/>
    <w:rsid w:val="00C53A28"/>
    <w:rsid w:val="00C53A2B"/>
    <w:rsid w:val="00C53CBA"/>
    <w:rsid w:val="00C53D1A"/>
    <w:rsid w:val="00C53DA9"/>
    <w:rsid w:val="00C54011"/>
    <w:rsid w:val="00C5426D"/>
    <w:rsid w:val="00C543FD"/>
    <w:rsid w:val="00C54411"/>
    <w:rsid w:val="00C54571"/>
    <w:rsid w:val="00C545BE"/>
    <w:rsid w:val="00C54693"/>
    <w:rsid w:val="00C547A6"/>
    <w:rsid w:val="00C54847"/>
    <w:rsid w:val="00C54A58"/>
    <w:rsid w:val="00C54BA7"/>
    <w:rsid w:val="00C54BEE"/>
    <w:rsid w:val="00C54DE1"/>
    <w:rsid w:val="00C54EB3"/>
    <w:rsid w:val="00C54F49"/>
    <w:rsid w:val="00C551C7"/>
    <w:rsid w:val="00C5532B"/>
    <w:rsid w:val="00C55415"/>
    <w:rsid w:val="00C55624"/>
    <w:rsid w:val="00C557C4"/>
    <w:rsid w:val="00C558AB"/>
    <w:rsid w:val="00C558EF"/>
    <w:rsid w:val="00C55A5E"/>
    <w:rsid w:val="00C55B1C"/>
    <w:rsid w:val="00C55C10"/>
    <w:rsid w:val="00C55CC2"/>
    <w:rsid w:val="00C55CE7"/>
    <w:rsid w:val="00C55D31"/>
    <w:rsid w:val="00C55ECE"/>
    <w:rsid w:val="00C56034"/>
    <w:rsid w:val="00C562A7"/>
    <w:rsid w:val="00C563FC"/>
    <w:rsid w:val="00C565A1"/>
    <w:rsid w:val="00C566BD"/>
    <w:rsid w:val="00C567D3"/>
    <w:rsid w:val="00C56ABB"/>
    <w:rsid w:val="00C56B5F"/>
    <w:rsid w:val="00C56E83"/>
    <w:rsid w:val="00C56EBD"/>
    <w:rsid w:val="00C5701D"/>
    <w:rsid w:val="00C573E1"/>
    <w:rsid w:val="00C57552"/>
    <w:rsid w:val="00C57A2A"/>
    <w:rsid w:val="00C57A7F"/>
    <w:rsid w:val="00C57B75"/>
    <w:rsid w:val="00C57CB0"/>
    <w:rsid w:val="00C57DEF"/>
    <w:rsid w:val="00C57E53"/>
    <w:rsid w:val="00C57F36"/>
    <w:rsid w:val="00C6016F"/>
    <w:rsid w:val="00C606D1"/>
    <w:rsid w:val="00C606DB"/>
    <w:rsid w:val="00C60A2D"/>
    <w:rsid w:val="00C60A69"/>
    <w:rsid w:val="00C60B4B"/>
    <w:rsid w:val="00C60D0C"/>
    <w:rsid w:val="00C60F5D"/>
    <w:rsid w:val="00C60FC6"/>
    <w:rsid w:val="00C613A9"/>
    <w:rsid w:val="00C619C3"/>
    <w:rsid w:val="00C61A4E"/>
    <w:rsid w:val="00C61CED"/>
    <w:rsid w:val="00C6220B"/>
    <w:rsid w:val="00C6228D"/>
    <w:rsid w:val="00C62411"/>
    <w:rsid w:val="00C624A0"/>
    <w:rsid w:val="00C62538"/>
    <w:rsid w:val="00C6257F"/>
    <w:rsid w:val="00C625C2"/>
    <w:rsid w:val="00C627A4"/>
    <w:rsid w:val="00C627E5"/>
    <w:rsid w:val="00C62D21"/>
    <w:rsid w:val="00C62FAA"/>
    <w:rsid w:val="00C62FC1"/>
    <w:rsid w:val="00C630A5"/>
    <w:rsid w:val="00C6316E"/>
    <w:rsid w:val="00C63212"/>
    <w:rsid w:val="00C63537"/>
    <w:rsid w:val="00C635E0"/>
    <w:rsid w:val="00C6371D"/>
    <w:rsid w:val="00C63791"/>
    <w:rsid w:val="00C63B1B"/>
    <w:rsid w:val="00C63C5E"/>
    <w:rsid w:val="00C63CBC"/>
    <w:rsid w:val="00C6420C"/>
    <w:rsid w:val="00C642C4"/>
    <w:rsid w:val="00C64340"/>
    <w:rsid w:val="00C64386"/>
    <w:rsid w:val="00C644E3"/>
    <w:rsid w:val="00C6469C"/>
    <w:rsid w:val="00C64C3B"/>
    <w:rsid w:val="00C64CFA"/>
    <w:rsid w:val="00C64E30"/>
    <w:rsid w:val="00C65342"/>
    <w:rsid w:val="00C65367"/>
    <w:rsid w:val="00C65394"/>
    <w:rsid w:val="00C653CC"/>
    <w:rsid w:val="00C65579"/>
    <w:rsid w:val="00C6564A"/>
    <w:rsid w:val="00C658F2"/>
    <w:rsid w:val="00C65911"/>
    <w:rsid w:val="00C65C9C"/>
    <w:rsid w:val="00C65E93"/>
    <w:rsid w:val="00C65F05"/>
    <w:rsid w:val="00C65F0F"/>
    <w:rsid w:val="00C66140"/>
    <w:rsid w:val="00C66169"/>
    <w:rsid w:val="00C6617B"/>
    <w:rsid w:val="00C6653E"/>
    <w:rsid w:val="00C665C0"/>
    <w:rsid w:val="00C66676"/>
    <w:rsid w:val="00C669CF"/>
    <w:rsid w:val="00C66A5E"/>
    <w:rsid w:val="00C66B01"/>
    <w:rsid w:val="00C66C13"/>
    <w:rsid w:val="00C67059"/>
    <w:rsid w:val="00C67095"/>
    <w:rsid w:val="00C67229"/>
    <w:rsid w:val="00C6729B"/>
    <w:rsid w:val="00C6775C"/>
    <w:rsid w:val="00C67ADD"/>
    <w:rsid w:val="00C67BF1"/>
    <w:rsid w:val="00C67D2B"/>
    <w:rsid w:val="00C67E96"/>
    <w:rsid w:val="00C67FFC"/>
    <w:rsid w:val="00C70057"/>
    <w:rsid w:val="00C700DA"/>
    <w:rsid w:val="00C700DF"/>
    <w:rsid w:val="00C7020C"/>
    <w:rsid w:val="00C702AB"/>
    <w:rsid w:val="00C70572"/>
    <w:rsid w:val="00C70765"/>
    <w:rsid w:val="00C7084E"/>
    <w:rsid w:val="00C7089C"/>
    <w:rsid w:val="00C70D29"/>
    <w:rsid w:val="00C70DEF"/>
    <w:rsid w:val="00C70DF1"/>
    <w:rsid w:val="00C710A9"/>
    <w:rsid w:val="00C711B0"/>
    <w:rsid w:val="00C711D9"/>
    <w:rsid w:val="00C7126B"/>
    <w:rsid w:val="00C715D1"/>
    <w:rsid w:val="00C715FF"/>
    <w:rsid w:val="00C71961"/>
    <w:rsid w:val="00C71A03"/>
    <w:rsid w:val="00C71A04"/>
    <w:rsid w:val="00C71CA8"/>
    <w:rsid w:val="00C71CCD"/>
    <w:rsid w:val="00C71D3F"/>
    <w:rsid w:val="00C71DCC"/>
    <w:rsid w:val="00C71EA5"/>
    <w:rsid w:val="00C71EEC"/>
    <w:rsid w:val="00C720D4"/>
    <w:rsid w:val="00C720F6"/>
    <w:rsid w:val="00C7216C"/>
    <w:rsid w:val="00C721F9"/>
    <w:rsid w:val="00C724BD"/>
    <w:rsid w:val="00C72545"/>
    <w:rsid w:val="00C727C4"/>
    <w:rsid w:val="00C728DE"/>
    <w:rsid w:val="00C72BE0"/>
    <w:rsid w:val="00C72C50"/>
    <w:rsid w:val="00C72D0C"/>
    <w:rsid w:val="00C72D7B"/>
    <w:rsid w:val="00C72F9C"/>
    <w:rsid w:val="00C733EF"/>
    <w:rsid w:val="00C734AB"/>
    <w:rsid w:val="00C736CE"/>
    <w:rsid w:val="00C7388B"/>
    <w:rsid w:val="00C73BE8"/>
    <w:rsid w:val="00C73EC3"/>
    <w:rsid w:val="00C740A1"/>
    <w:rsid w:val="00C740D2"/>
    <w:rsid w:val="00C744D1"/>
    <w:rsid w:val="00C7461D"/>
    <w:rsid w:val="00C7484A"/>
    <w:rsid w:val="00C7498A"/>
    <w:rsid w:val="00C74AEA"/>
    <w:rsid w:val="00C74C19"/>
    <w:rsid w:val="00C7501B"/>
    <w:rsid w:val="00C7529B"/>
    <w:rsid w:val="00C7542B"/>
    <w:rsid w:val="00C7571E"/>
    <w:rsid w:val="00C758EC"/>
    <w:rsid w:val="00C75972"/>
    <w:rsid w:val="00C75BCD"/>
    <w:rsid w:val="00C75C72"/>
    <w:rsid w:val="00C75D9C"/>
    <w:rsid w:val="00C76176"/>
    <w:rsid w:val="00C7646B"/>
    <w:rsid w:val="00C766CA"/>
    <w:rsid w:val="00C766EC"/>
    <w:rsid w:val="00C76765"/>
    <w:rsid w:val="00C76875"/>
    <w:rsid w:val="00C76B33"/>
    <w:rsid w:val="00C76B91"/>
    <w:rsid w:val="00C76C27"/>
    <w:rsid w:val="00C76CBC"/>
    <w:rsid w:val="00C76D43"/>
    <w:rsid w:val="00C76DA0"/>
    <w:rsid w:val="00C76F1E"/>
    <w:rsid w:val="00C77721"/>
    <w:rsid w:val="00C778CF"/>
    <w:rsid w:val="00C778DE"/>
    <w:rsid w:val="00C77B4C"/>
    <w:rsid w:val="00C77B80"/>
    <w:rsid w:val="00C77DBA"/>
    <w:rsid w:val="00C77E27"/>
    <w:rsid w:val="00C77E59"/>
    <w:rsid w:val="00C8027B"/>
    <w:rsid w:val="00C8037C"/>
    <w:rsid w:val="00C8037F"/>
    <w:rsid w:val="00C80391"/>
    <w:rsid w:val="00C803BF"/>
    <w:rsid w:val="00C8047A"/>
    <w:rsid w:val="00C807F3"/>
    <w:rsid w:val="00C808D2"/>
    <w:rsid w:val="00C80AD9"/>
    <w:rsid w:val="00C80B3E"/>
    <w:rsid w:val="00C80BD0"/>
    <w:rsid w:val="00C80E78"/>
    <w:rsid w:val="00C81031"/>
    <w:rsid w:val="00C8125B"/>
    <w:rsid w:val="00C8133C"/>
    <w:rsid w:val="00C813BD"/>
    <w:rsid w:val="00C81461"/>
    <w:rsid w:val="00C81549"/>
    <w:rsid w:val="00C817B1"/>
    <w:rsid w:val="00C81A0C"/>
    <w:rsid w:val="00C81A7F"/>
    <w:rsid w:val="00C81AA4"/>
    <w:rsid w:val="00C81B6B"/>
    <w:rsid w:val="00C81C08"/>
    <w:rsid w:val="00C81D23"/>
    <w:rsid w:val="00C81EF6"/>
    <w:rsid w:val="00C81F0E"/>
    <w:rsid w:val="00C82063"/>
    <w:rsid w:val="00C822D1"/>
    <w:rsid w:val="00C822FE"/>
    <w:rsid w:val="00C8235F"/>
    <w:rsid w:val="00C82394"/>
    <w:rsid w:val="00C8262E"/>
    <w:rsid w:val="00C82998"/>
    <w:rsid w:val="00C829EE"/>
    <w:rsid w:val="00C82C3D"/>
    <w:rsid w:val="00C82C89"/>
    <w:rsid w:val="00C82E3D"/>
    <w:rsid w:val="00C82FDC"/>
    <w:rsid w:val="00C832FF"/>
    <w:rsid w:val="00C835C5"/>
    <w:rsid w:val="00C83A06"/>
    <w:rsid w:val="00C83B0A"/>
    <w:rsid w:val="00C84052"/>
    <w:rsid w:val="00C84116"/>
    <w:rsid w:val="00C84368"/>
    <w:rsid w:val="00C8443A"/>
    <w:rsid w:val="00C844B5"/>
    <w:rsid w:val="00C84503"/>
    <w:rsid w:val="00C845D5"/>
    <w:rsid w:val="00C84801"/>
    <w:rsid w:val="00C84882"/>
    <w:rsid w:val="00C84883"/>
    <w:rsid w:val="00C849DD"/>
    <w:rsid w:val="00C84A2E"/>
    <w:rsid w:val="00C84B5C"/>
    <w:rsid w:val="00C85030"/>
    <w:rsid w:val="00C850C0"/>
    <w:rsid w:val="00C8527D"/>
    <w:rsid w:val="00C8531D"/>
    <w:rsid w:val="00C853CA"/>
    <w:rsid w:val="00C855B2"/>
    <w:rsid w:val="00C85707"/>
    <w:rsid w:val="00C857B5"/>
    <w:rsid w:val="00C85814"/>
    <w:rsid w:val="00C85C5B"/>
    <w:rsid w:val="00C85D0C"/>
    <w:rsid w:val="00C85DC9"/>
    <w:rsid w:val="00C86204"/>
    <w:rsid w:val="00C86253"/>
    <w:rsid w:val="00C86319"/>
    <w:rsid w:val="00C8640A"/>
    <w:rsid w:val="00C8643E"/>
    <w:rsid w:val="00C86798"/>
    <w:rsid w:val="00C86897"/>
    <w:rsid w:val="00C868FE"/>
    <w:rsid w:val="00C86B30"/>
    <w:rsid w:val="00C86B39"/>
    <w:rsid w:val="00C86D00"/>
    <w:rsid w:val="00C86F53"/>
    <w:rsid w:val="00C8702A"/>
    <w:rsid w:val="00C87050"/>
    <w:rsid w:val="00C8713A"/>
    <w:rsid w:val="00C87201"/>
    <w:rsid w:val="00C87663"/>
    <w:rsid w:val="00C87735"/>
    <w:rsid w:val="00C877D5"/>
    <w:rsid w:val="00C87877"/>
    <w:rsid w:val="00C879C4"/>
    <w:rsid w:val="00C87BAA"/>
    <w:rsid w:val="00C87DB7"/>
    <w:rsid w:val="00C87E7D"/>
    <w:rsid w:val="00C87EC9"/>
    <w:rsid w:val="00C87F0F"/>
    <w:rsid w:val="00C87F85"/>
    <w:rsid w:val="00C902EF"/>
    <w:rsid w:val="00C904FD"/>
    <w:rsid w:val="00C9072A"/>
    <w:rsid w:val="00C90A65"/>
    <w:rsid w:val="00C90A6D"/>
    <w:rsid w:val="00C90A99"/>
    <w:rsid w:val="00C90CA1"/>
    <w:rsid w:val="00C90D23"/>
    <w:rsid w:val="00C90DE5"/>
    <w:rsid w:val="00C90EA0"/>
    <w:rsid w:val="00C90EF9"/>
    <w:rsid w:val="00C90F1A"/>
    <w:rsid w:val="00C910E3"/>
    <w:rsid w:val="00C91254"/>
    <w:rsid w:val="00C91414"/>
    <w:rsid w:val="00C914E0"/>
    <w:rsid w:val="00C915E4"/>
    <w:rsid w:val="00C916C5"/>
    <w:rsid w:val="00C91724"/>
    <w:rsid w:val="00C9177A"/>
    <w:rsid w:val="00C91860"/>
    <w:rsid w:val="00C919BB"/>
    <w:rsid w:val="00C91B83"/>
    <w:rsid w:val="00C91B97"/>
    <w:rsid w:val="00C91F06"/>
    <w:rsid w:val="00C922B8"/>
    <w:rsid w:val="00C922F7"/>
    <w:rsid w:val="00C923F0"/>
    <w:rsid w:val="00C927F1"/>
    <w:rsid w:val="00C92859"/>
    <w:rsid w:val="00C9286F"/>
    <w:rsid w:val="00C928F8"/>
    <w:rsid w:val="00C92B85"/>
    <w:rsid w:val="00C92B9F"/>
    <w:rsid w:val="00C92C99"/>
    <w:rsid w:val="00C92CBF"/>
    <w:rsid w:val="00C92F6C"/>
    <w:rsid w:val="00C93004"/>
    <w:rsid w:val="00C93045"/>
    <w:rsid w:val="00C930DE"/>
    <w:rsid w:val="00C93363"/>
    <w:rsid w:val="00C936B0"/>
    <w:rsid w:val="00C9376C"/>
    <w:rsid w:val="00C937A9"/>
    <w:rsid w:val="00C93B60"/>
    <w:rsid w:val="00C93BE2"/>
    <w:rsid w:val="00C93E32"/>
    <w:rsid w:val="00C93F37"/>
    <w:rsid w:val="00C93F8E"/>
    <w:rsid w:val="00C940B2"/>
    <w:rsid w:val="00C941F7"/>
    <w:rsid w:val="00C94396"/>
    <w:rsid w:val="00C94497"/>
    <w:rsid w:val="00C945C9"/>
    <w:rsid w:val="00C948B3"/>
    <w:rsid w:val="00C94C28"/>
    <w:rsid w:val="00C94E01"/>
    <w:rsid w:val="00C94E08"/>
    <w:rsid w:val="00C94E4E"/>
    <w:rsid w:val="00C94F11"/>
    <w:rsid w:val="00C9507F"/>
    <w:rsid w:val="00C951C7"/>
    <w:rsid w:val="00C95215"/>
    <w:rsid w:val="00C95255"/>
    <w:rsid w:val="00C95589"/>
    <w:rsid w:val="00C955B6"/>
    <w:rsid w:val="00C956B0"/>
    <w:rsid w:val="00C9581D"/>
    <w:rsid w:val="00C95BDF"/>
    <w:rsid w:val="00C95D0D"/>
    <w:rsid w:val="00C95E9D"/>
    <w:rsid w:val="00C95F51"/>
    <w:rsid w:val="00C96092"/>
    <w:rsid w:val="00C962D7"/>
    <w:rsid w:val="00C965EB"/>
    <w:rsid w:val="00C96875"/>
    <w:rsid w:val="00C9693D"/>
    <w:rsid w:val="00C96A37"/>
    <w:rsid w:val="00C96A81"/>
    <w:rsid w:val="00C96E7F"/>
    <w:rsid w:val="00C96F06"/>
    <w:rsid w:val="00C96F5F"/>
    <w:rsid w:val="00C97030"/>
    <w:rsid w:val="00C972F9"/>
    <w:rsid w:val="00C97446"/>
    <w:rsid w:val="00C9768D"/>
    <w:rsid w:val="00C9774B"/>
    <w:rsid w:val="00C97770"/>
    <w:rsid w:val="00C979AE"/>
    <w:rsid w:val="00C97A4B"/>
    <w:rsid w:val="00C97C05"/>
    <w:rsid w:val="00C97CAD"/>
    <w:rsid w:val="00C97EF7"/>
    <w:rsid w:val="00C97FA7"/>
    <w:rsid w:val="00CA0217"/>
    <w:rsid w:val="00CA02C5"/>
    <w:rsid w:val="00CA0441"/>
    <w:rsid w:val="00CA0534"/>
    <w:rsid w:val="00CA05AC"/>
    <w:rsid w:val="00CA069C"/>
    <w:rsid w:val="00CA08F6"/>
    <w:rsid w:val="00CA0A04"/>
    <w:rsid w:val="00CA0A84"/>
    <w:rsid w:val="00CA0E3A"/>
    <w:rsid w:val="00CA0F27"/>
    <w:rsid w:val="00CA1039"/>
    <w:rsid w:val="00CA10A1"/>
    <w:rsid w:val="00CA10B1"/>
    <w:rsid w:val="00CA11AD"/>
    <w:rsid w:val="00CA149E"/>
    <w:rsid w:val="00CA14AF"/>
    <w:rsid w:val="00CA1588"/>
    <w:rsid w:val="00CA167B"/>
    <w:rsid w:val="00CA16AB"/>
    <w:rsid w:val="00CA16C7"/>
    <w:rsid w:val="00CA19DE"/>
    <w:rsid w:val="00CA1C26"/>
    <w:rsid w:val="00CA1CDE"/>
    <w:rsid w:val="00CA20F3"/>
    <w:rsid w:val="00CA21BB"/>
    <w:rsid w:val="00CA22E0"/>
    <w:rsid w:val="00CA2396"/>
    <w:rsid w:val="00CA24E0"/>
    <w:rsid w:val="00CA27D6"/>
    <w:rsid w:val="00CA28A0"/>
    <w:rsid w:val="00CA2C0B"/>
    <w:rsid w:val="00CA2C46"/>
    <w:rsid w:val="00CA2D64"/>
    <w:rsid w:val="00CA3235"/>
    <w:rsid w:val="00CA34E2"/>
    <w:rsid w:val="00CA394A"/>
    <w:rsid w:val="00CA4169"/>
    <w:rsid w:val="00CA42FB"/>
    <w:rsid w:val="00CA4365"/>
    <w:rsid w:val="00CA45B9"/>
    <w:rsid w:val="00CA4730"/>
    <w:rsid w:val="00CA4EBE"/>
    <w:rsid w:val="00CA515A"/>
    <w:rsid w:val="00CA52BA"/>
    <w:rsid w:val="00CA5363"/>
    <w:rsid w:val="00CA55F4"/>
    <w:rsid w:val="00CA56F3"/>
    <w:rsid w:val="00CA5847"/>
    <w:rsid w:val="00CA5A14"/>
    <w:rsid w:val="00CA5B1F"/>
    <w:rsid w:val="00CA5BD8"/>
    <w:rsid w:val="00CA5CF2"/>
    <w:rsid w:val="00CA5D49"/>
    <w:rsid w:val="00CA5F71"/>
    <w:rsid w:val="00CA6006"/>
    <w:rsid w:val="00CA6010"/>
    <w:rsid w:val="00CA6050"/>
    <w:rsid w:val="00CA625E"/>
    <w:rsid w:val="00CA6591"/>
    <w:rsid w:val="00CA661E"/>
    <w:rsid w:val="00CA67E9"/>
    <w:rsid w:val="00CA6F3B"/>
    <w:rsid w:val="00CA6FE3"/>
    <w:rsid w:val="00CA6FFB"/>
    <w:rsid w:val="00CA7082"/>
    <w:rsid w:val="00CA71B7"/>
    <w:rsid w:val="00CA71D4"/>
    <w:rsid w:val="00CA770A"/>
    <w:rsid w:val="00CA7875"/>
    <w:rsid w:val="00CA7A26"/>
    <w:rsid w:val="00CA7B59"/>
    <w:rsid w:val="00CA7CBD"/>
    <w:rsid w:val="00CA7D61"/>
    <w:rsid w:val="00CB000A"/>
    <w:rsid w:val="00CB03BC"/>
    <w:rsid w:val="00CB03F6"/>
    <w:rsid w:val="00CB0405"/>
    <w:rsid w:val="00CB060B"/>
    <w:rsid w:val="00CB07D6"/>
    <w:rsid w:val="00CB0852"/>
    <w:rsid w:val="00CB0940"/>
    <w:rsid w:val="00CB0990"/>
    <w:rsid w:val="00CB0B60"/>
    <w:rsid w:val="00CB0C3C"/>
    <w:rsid w:val="00CB0C9C"/>
    <w:rsid w:val="00CB0D0E"/>
    <w:rsid w:val="00CB0E9F"/>
    <w:rsid w:val="00CB0FD8"/>
    <w:rsid w:val="00CB1164"/>
    <w:rsid w:val="00CB133B"/>
    <w:rsid w:val="00CB1596"/>
    <w:rsid w:val="00CB16EA"/>
    <w:rsid w:val="00CB1C71"/>
    <w:rsid w:val="00CB1CC8"/>
    <w:rsid w:val="00CB1EC5"/>
    <w:rsid w:val="00CB1F8F"/>
    <w:rsid w:val="00CB1F98"/>
    <w:rsid w:val="00CB20E7"/>
    <w:rsid w:val="00CB231F"/>
    <w:rsid w:val="00CB24A8"/>
    <w:rsid w:val="00CB24BC"/>
    <w:rsid w:val="00CB267B"/>
    <w:rsid w:val="00CB279E"/>
    <w:rsid w:val="00CB2B5B"/>
    <w:rsid w:val="00CB2BE2"/>
    <w:rsid w:val="00CB2D47"/>
    <w:rsid w:val="00CB2E91"/>
    <w:rsid w:val="00CB3004"/>
    <w:rsid w:val="00CB313D"/>
    <w:rsid w:val="00CB350A"/>
    <w:rsid w:val="00CB37FE"/>
    <w:rsid w:val="00CB3938"/>
    <w:rsid w:val="00CB3976"/>
    <w:rsid w:val="00CB3CB3"/>
    <w:rsid w:val="00CB3EBB"/>
    <w:rsid w:val="00CB3FF6"/>
    <w:rsid w:val="00CB408B"/>
    <w:rsid w:val="00CB41C9"/>
    <w:rsid w:val="00CB448A"/>
    <w:rsid w:val="00CB452C"/>
    <w:rsid w:val="00CB457D"/>
    <w:rsid w:val="00CB4661"/>
    <w:rsid w:val="00CB46C9"/>
    <w:rsid w:val="00CB47DF"/>
    <w:rsid w:val="00CB4A0B"/>
    <w:rsid w:val="00CB4A66"/>
    <w:rsid w:val="00CB4B63"/>
    <w:rsid w:val="00CB4B91"/>
    <w:rsid w:val="00CB4D9C"/>
    <w:rsid w:val="00CB4EAB"/>
    <w:rsid w:val="00CB5161"/>
    <w:rsid w:val="00CB5398"/>
    <w:rsid w:val="00CB53F1"/>
    <w:rsid w:val="00CB5461"/>
    <w:rsid w:val="00CB554F"/>
    <w:rsid w:val="00CB5577"/>
    <w:rsid w:val="00CB5606"/>
    <w:rsid w:val="00CB59A9"/>
    <w:rsid w:val="00CB5A62"/>
    <w:rsid w:val="00CB5D1C"/>
    <w:rsid w:val="00CB5EDB"/>
    <w:rsid w:val="00CB5F94"/>
    <w:rsid w:val="00CB605E"/>
    <w:rsid w:val="00CB6183"/>
    <w:rsid w:val="00CB61B7"/>
    <w:rsid w:val="00CB6235"/>
    <w:rsid w:val="00CB63A3"/>
    <w:rsid w:val="00CB652C"/>
    <w:rsid w:val="00CB657B"/>
    <w:rsid w:val="00CB660E"/>
    <w:rsid w:val="00CB6639"/>
    <w:rsid w:val="00CB679D"/>
    <w:rsid w:val="00CB67A8"/>
    <w:rsid w:val="00CB696F"/>
    <w:rsid w:val="00CB69B1"/>
    <w:rsid w:val="00CB69B8"/>
    <w:rsid w:val="00CB69C1"/>
    <w:rsid w:val="00CB6BDE"/>
    <w:rsid w:val="00CB6C14"/>
    <w:rsid w:val="00CB6DA3"/>
    <w:rsid w:val="00CB6F84"/>
    <w:rsid w:val="00CB70AB"/>
    <w:rsid w:val="00CB7147"/>
    <w:rsid w:val="00CB73CC"/>
    <w:rsid w:val="00CB748A"/>
    <w:rsid w:val="00CB75BD"/>
    <w:rsid w:val="00CB75DC"/>
    <w:rsid w:val="00CB7621"/>
    <w:rsid w:val="00CB772D"/>
    <w:rsid w:val="00CB779B"/>
    <w:rsid w:val="00CB7E22"/>
    <w:rsid w:val="00CB7F0D"/>
    <w:rsid w:val="00CC0054"/>
    <w:rsid w:val="00CC0272"/>
    <w:rsid w:val="00CC0301"/>
    <w:rsid w:val="00CC056E"/>
    <w:rsid w:val="00CC08CD"/>
    <w:rsid w:val="00CC090E"/>
    <w:rsid w:val="00CC0B34"/>
    <w:rsid w:val="00CC0B3F"/>
    <w:rsid w:val="00CC0DC3"/>
    <w:rsid w:val="00CC0F32"/>
    <w:rsid w:val="00CC0FF0"/>
    <w:rsid w:val="00CC14CA"/>
    <w:rsid w:val="00CC17AC"/>
    <w:rsid w:val="00CC17D7"/>
    <w:rsid w:val="00CC1800"/>
    <w:rsid w:val="00CC1926"/>
    <w:rsid w:val="00CC1A9D"/>
    <w:rsid w:val="00CC1B21"/>
    <w:rsid w:val="00CC1DEE"/>
    <w:rsid w:val="00CC1EFC"/>
    <w:rsid w:val="00CC1F69"/>
    <w:rsid w:val="00CC20F7"/>
    <w:rsid w:val="00CC2108"/>
    <w:rsid w:val="00CC24AF"/>
    <w:rsid w:val="00CC2608"/>
    <w:rsid w:val="00CC2804"/>
    <w:rsid w:val="00CC29FA"/>
    <w:rsid w:val="00CC2D06"/>
    <w:rsid w:val="00CC2D7C"/>
    <w:rsid w:val="00CC310F"/>
    <w:rsid w:val="00CC3148"/>
    <w:rsid w:val="00CC31A6"/>
    <w:rsid w:val="00CC339E"/>
    <w:rsid w:val="00CC35FB"/>
    <w:rsid w:val="00CC36B5"/>
    <w:rsid w:val="00CC3A59"/>
    <w:rsid w:val="00CC3AA2"/>
    <w:rsid w:val="00CC3BEE"/>
    <w:rsid w:val="00CC3D42"/>
    <w:rsid w:val="00CC3D5D"/>
    <w:rsid w:val="00CC3E5A"/>
    <w:rsid w:val="00CC43D9"/>
    <w:rsid w:val="00CC452D"/>
    <w:rsid w:val="00CC4885"/>
    <w:rsid w:val="00CC4895"/>
    <w:rsid w:val="00CC4AC3"/>
    <w:rsid w:val="00CC4B19"/>
    <w:rsid w:val="00CC4BEF"/>
    <w:rsid w:val="00CC4EA5"/>
    <w:rsid w:val="00CC5106"/>
    <w:rsid w:val="00CC531F"/>
    <w:rsid w:val="00CC5439"/>
    <w:rsid w:val="00CC568A"/>
    <w:rsid w:val="00CC568B"/>
    <w:rsid w:val="00CC575B"/>
    <w:rsid w:val="00CC58AF"/>
    <w:rsid w:val="00CC5935"/>
    <w:rsid w:val="00CC59F8"/>
    <w:rsid w:val="00CC5A35"/>
    <w:rsid w:val="00CC5AB4"/>
    <w:rsid w:val="00CC5B97"/>
    <w:rsid w:val="00CC5CDB"/>
    <w:rsid w:val="00CC5F7A"/>
    <w:rsid w:val="00CC6125"/>
    <w:rsid w:val="00CC62CC"/>
    <w:rsid w:val="00CC6378"/>
    <w:rsid w:val="00CC64BC"/>
    <w:rsid w:val="00CC6552"/>
    <w:rsid w:val="00CC6672"/>
    <w:rsid w:val="00CC6B7C"/>
    <w:rsid w:val="00CC6CF2"/>
    <w:rsid w:val="00CC6DD1"/>
    <w:rsid w:val="00CC713C"/>
    <w:rsid w:val="00CC7334"/>
    <w:rsid w:val="00CC7352"/>
    <w:rsid w:val="00CC786F"/>
    <w:rsid w:val="00CC7982"/>
    <w:rsid w:val="00CC7B1D"/>
    <w:rsid w:val="00CC7D6F"/>
    <w:rsid w:val="00CC7DA5"/>
    <w:rsid w:val="00CC7E3F"/>
    <w:rsid w:val="00CC7F87"/>
    <w:rsid w:val="00CD01BD"/>
    <w:rsid w:val="00CD021B"/>
    <w:rsid w:val="00CD028C"/>
    <w:rsid w:val="00CD0351"/>
    <w:rsid w:val="00CD0369"/>
    <w:rsid w:val="00CD05BD"/>
    <w:rsid w:val="00CD067D"/>
    <w:rsid w:val="00CD0A1C"/>
    <w:rsid w:val="00CD0B07"/>
    <w:rsid w:val="00CD0B89"/>
    <w:rsid w:val="00CD0BC6"/>
    <w:rsid w:val="00CD0C88"/>
    <w:rsid w:val="00CD0D68"/>
    <w:rsid w:val="00CD1474"/>
    <w:rsid w:val="00CD1581"/>
    <w:rsid w:val="00CD15A8"/>
    <w:rsid w:val="00CD1727"/>
    <w:rsid w:val="00CD19A9"/>
    <w:rsid w:val="00CD1AB1"/>
    <w:rsid w:val="00CD1AC2"/>
    <w:rsid w:val="00CD1CAB"/>
    <w:rsid w:val="00CD1D49"/>
    <w:rsid w:val="00CD1DB0"/>
    <w:rsid w:val="00CD1DC2"/>
    <w:rsid w:val="00CD1F4F"/>
    <w:rsid w:val="00CD1F76"/>
    <w:rsid w:val="00CD2033"/>
    <w:rsid w:val="00CD2216"/>
    <w:rsid w:val="00CD256E"/>
    <w:rsid w:val="00CD27DF"/>
    <w:rsid w:val="00CD2821"/>
    <w:rsid w:val="00CD2D2A"/>
    <w:rsid w:val="00CD2EAB"/>
    <w:rsid w:val="00CD3089"/>
    <w:rsid w:val="00CD33CD"/>
    <w:rsid w:val="00CD34F2"/>
    <w:rsid w:val="00CD355B"/>
    <w:rsid w:val="00CD36BF"/>
    <w:rsid w:val="00CD3781"/>
    <w:rsid w:val="00CD3D41"/>
    <w:rsid w:val="00CD403F"/>
    <w:rsid w:val="00CD4057"/>
    <w:rsid w:val="00CD41DA"/>
    <w:rsid w:val="00CD43FC"/>
    <w:rsid w:val="00CD4571"/>
    <w:rsid w:val="00CD45E2"/>
    <w:rsid w:val="00CD47EB"/>
    <w:rsid w:val="00CD49AA"/>
    <w:rsid w:val="00CD4AD9"/>
    <w:rsid w:val="00CD4B17"/>
    <w:rsid w:val="00CD4C09"/>
    <w:rsid w:val="00CD4D81"/>
    <w:rsid w:val="00CD4EE2"/>
    <w:rsid w:val="00CD5030"/>
    <w:rsid w:val="00CD513F"/>
    <w:rsid w:val="00CD53DA"/>
    <w:rsid w:val="00CD5620"/>
    <w:rsid w:val="00CD5686"/>
    <w:rsid w:val="00CD56E5"/>
    <w:rsid w:val="00CD584B"/>
    <w:rsid w:val="00CD5A2B"/>
    <w:rsid w:val="00CD5DC1"/>
    <w:rsid w:val="00CD5E49"/>
    <w:rsid w:val="00CD5EBB"/>
    <w:rsid w:val="00CD603C"/>
    <w:rsid w:val="00CD60DF"/>
    <w:rsid w:val="00CD60E1"/>
    <w:rsid w:val="00CD62DA"/>
    <w:rsid w:val="00CD63FF"/>
    <w:rsid w:val="00CD64F4"/>
    <w:rsid w:val="00CD65F1"/>
    <w:rsid w:val="00CD666E"/>
    <w:rsid w:val="00CD6895"/>
    <w:rsid w:val="00CD6A9B"/>
    <w:rsid w:val="00CD6B3A"/>
    <w:rsid w:val="00CD6CBA"/>
    <w:rsid w:val="00CD6D1A"/>
    <w:rsid w:val="00CD6F75"/>
    <w:rsid w:val="00CD7067"/>
    <w:rsid w:val="00CD713B"/>
    <w:rsid w:val="00CD7151"/>
    <w:rsid w:val="00CD73E6"/>
    <w:rsid w:val="00CD7419"/>
    <w:rsid w:val="00CD7846"/>
    <w:rsid w:val="00CD7BF9"/>
    <w:rsid w:val="00CD7C0B"/>
    <w:rsid w:val="00CD7F0E"/>
    <w:rsid w:val="00CE00AE"/>
    <w:rsid w:val="00CE06BC"/>
    <w:rsid w:val="00CE06FD"/>
    <w:rsid w:val="00CE0726"/>
    <w:rsid w:val="00CE075D"/>
    <w:rsid w:val="00CE0799"/>
    <w:rsid w:val="00CE079B"/>
    <w:rsid w:val="00CE07B5"/>
    <w:rsid w:val="00CE07F4"/>
    <w:rsid w:val="00CE0896"/>
    <w:rsid w:val="00CE08BA"/>
    <w:rsid w:val="00CE093D"/>
    <w:rsid w:val="00CE0AA7"/>
    <w:rsid w:val="00CE0E1B"/>
    <w:rsid w:val="00CE0F14"/>
    <w:rsid w:val="00CE1028"/>
    <w:rsid w:val="00CE102A"/>
    <w:rsid w:val="00CE1048"/>
    <w:rsid w:val="00CE1161"/>
    <w:rsid w:val="00CE11BA"/>
    <w:rsid w:val="00CE13BD"/>
    <w:rsid w:val="00CE1477"/>
    <w:rsid w:val="00CE1A64"/>
    <w:rsid w:val="00CE1E7D"/>
    <w:rsid w:val="00CE1F3C"/>
    <w:rsid w:val="00CE2074"/>
    <w:rsid w:val="00CE2126"/>
    <w:rsid w:val="00CE2152"/>
    <w:rsid w:val="00CE21D9"/>
    <w:rsid w:val="00CE2267"/>
    <w:rsid w:val="00CE250B"/>
    <w:rsid w:val="00CE264D"/>
    <w:rsid w:val="00CE2858"/>
    <w:rsid w:val="00CE29AA"/>
    <w:rsid w:val="00CE2A44"/>
    <w:rsid w:val="00CE2A85"/>
    <w:rsid w:val="00CE2AB4"/>
    <w:rsid w:val="00CE2AE5"/>
    <w:rsid w:val="00CE2BDF"/>
    <w:rsid w:val="00CE2C6F"/>
    <w:rsid w:val="00CE2CF5"/>
    <w:rsid w:val="00CE2E7D"/>
    <w:rsid w:val="00CE2F7D"/>
    <w:rsid w:val="00CE32DE"/>
    <w:rsid w:val="00CE3312"/>
    <w:rsid w:val="00CE3363"/>
    <w:rsid w:val="00CE3486"/>
    <w:rsid w:val="00CE34B6"/>
    <w:rsid w:val="00CE3697"/>
    <w:rsid w:val="00CE37C9"/>
    <w:rsid w:val="00CE382E"/>
    <w:rsid w:val="00CE38B9"/>
    <w:rsid w:val="00CE3A8D"/>
    <w:rsid w:val="00CE3D32"/>
    <w:rsid w:val="00CE3EA2"/>
    <w:rsid w:val="00CE3EE9"/>
    <w:rsid w:val="00CE406B"/>
    <w:rsid w:val="00CE410C"/>
    <w:rsid w:val="00CE431D"/>
    <w:rsid w:val="00CE45C6"/>
    <w:rsid w:val="00CE46B2"/>
    <w:rsid w:val="00CE4719"/>
    <w:rsid w:val="00CE4769"/>
    <w:rsid w:val="00CE47BD"/>
    <w:rsid w:val="00CE47C5"/>
    <w:rsid w:val="00CE47D5"/>
    <w:rsid w:val="00CE4D27"/>
    <w:rsid w:val="00CE4E3F"/>
    <w:rsid w:val="00CE4E66"/>
    <w:rsid w:val="00CE5076"/>
    <w:rsid w:val="00CE5172"/>
    <w:rsid w:val="00CE5184"/>
    <w:rsid w:val="00CE5222"/>
    <w:rsid w:val="00CE5486"/>
    <w:rsid w:val="00CE54D2"/>
    <w:rsid w:val="00CE566C"/>
    <w:rsid w:val="00CE56F8"/>
    <w:rsid w:val="00CE574C"/>
    <w:rsid w:val="00CE5AE0"/>
    <w:rsid w:val="00CE5B2C"/>
    <w:rsid w:val="00CE5B83"/>
    <w:rsid w:val="00CE5BF4"/>
    <w:rsid w:val="00CE5FE5"/>
    <w:rsid w:val="00CE6134"/>
    <w:rsid w:val="00CE61F8"/>
    <w:rsid w:val="00CE62E8"/>
    <w:rsid w:val="00CE6408"/>
    <w:rsid w:val="00CE64D2"/>
    <w:rsid w:val="00CE6645"/>
    <w:rsid w:val="00CE6864"/>
    <w:rsid w:val="00CE6882"/>
    <w:rsid w:val="00CE6B19"/>
    <w:rsid w:val="00CE6E23"/>
    <w:rsid w:val="00CE6E8C"/>
    <w:rsid w:val="00CE6F68"/>
    <w:rsid w:val="00CE6F71"/>
    <w:rsid w:val="00CE7233"/>
    <w:rsid w:val="00CE7265"/>
    <w:rsid w:val="00CE74A3"/>
    <w:rsid w:val="00CE7500"/>
    <w:rsid w:val="00CE781E"/>
    <w:rsid w:val="00CE7895"/>
    <w:rsid w:val="00CE7AA8"/>
    <w:rsid w:val="00CE7BE1"/>
    <w:rsid w:val="00CE7DA1"/>
    <w:rsid w:val="00CE7E02"/>
    <w:rsid w:val="00CF00A8"/>
    <w:rsid w:val="00CF012B"/>
    <w:rsid w:val="00CF0589"/>
    <w:rsid w:val="00CF059A"/>
    <w:rsid w:val="00CF084C"/>
    <w:rsid w:val="00CF086B"/>
    <w:rsid w:val="00CF094A"/>
    <w:rsid w:val="00CF09E2"/>
    <w:rsid w:val="00CF0A15"/>
    <w:rsid w:val="00CF0B59"/>
    <w:rsid w:val="00CF0B9F"/>
    <w:rsid w:val="00CF0CE6"/>
    <w:rsid w:val="00CF0CF3"/>
    <w:rsid w:val="00CF0E22"/>
    <w:rsid w:val="00CF10DA"/>
    <w:rsid w:val="00CF12B6"/>
    <w:rsid w:val="00CF15E8"/>
    <w:rsid w:val="00CF1628"/>
    <w:rsid w:val="00CF169B"/>
    <w:rsid w:val="00CF16FD"/>
    <w:rsid w:val="00CF176F"/>
    <w:rsid w:val="00CF186B"/>
    <w:rsid w:val="00CF1AFF"/>
    <w:rsid w:val="00CF1B4B"/>
    <w:rsid w:val="00CF1CE8"/>
    <w:rsid w:val="00CF1EB6"/>
    <w:rsid w:val="00CF1F38"/>
    <w:rsid w:val="00CF23A2"/>
    <w:rsid w:val="00CF251C"/>
    <w:rsid w:val="00CF2555"/>
    <w:rsid w:val="00CF26A4"/>
    <w:rsid w:val="00CF2757"/>
    <w:rsid w:val="00CF288F"/>
    <w:rsid w:val="00CF28CF"/>
    <w:rsid w:val="00CF2AD5"/>
    <w:rsid w:val="00CF2BC2"/>
    <w:rsid w:val="00CF3080"/>
    <w:rsid w:val="00CF30FA"/>
    <w:rsid w:val="00CF3266"/>
    <w:rsid w:val="00CF32E1"/>
    <w:rsid w:val="00CF331E"/>
    <w:rsid w:val="00CF33EF"/>
    <w:rsid w:val="00CF33FC"/>
    <w:rsid w:val="00CF3472"/>
    <w:rsid w:val="00CF3739"/>
    <w:rsid w:val="00CF3791"/>
    <w:rsid w:val="00CF3792"/>
    <w:rsid w:val="00CF37BE"/>
    <w:rsid w:val="00CF37C8"/>
    <w:rsid w:val="00CF383E"/>
    <w:rsid w:val="00CF385A"/>
    <w:rsid w:val="00CF3A9C"/>
    <w:rsid w:val="00CF3BB5"/>
    <w:rsid w:val="00CF417E"/>
    <w:rsid w:val="00CF4251"/>
    <w:rsid w:val="00CF4293"/>
    <w:rsid w:val="00CF44A9"/>
    <w:rsid w:val="00CF4556"/>
    <w:rsid w:val="00CF459C"/>
    <w:rsid w:val="00CF467D"/>
    <w:rsid w:val="00CF4AD6"/>
    <w:rsid w:val="00CF4D15"/>
    <w:rsid w:val="00CF4DC5"/>
    <w:rsid w:val="00CF5132"/>
    <w:rsid w:val="00CF513C"/>
    <w:rsid w:val="00CF513D"/>
    <w:rsid w:val="00CF51F1"/>
    <w:rsid w:val="00CF565F"/>
    <w:rsid w:val="00CF5714"/>
    <w:rsid w:val="00CF5B41"/>
    <w:rsid w:val="00CF5B9C"/>
    <w:rsid w:val="00CF6385"/>
    <w:rsid w:val="00CF64B9"/>
    <w:rsid w:val="00CF6558"/>
    <w:rsid w:val="00CF6832"/>
    <w:rsid w:val="00CF6906"/>
    <w:rsid w:val="00CF699D"/>
    <w:rsid w:val="00CF6C13"/>
    <w:rsid w:val="00CF6CA3"/>
    <w:rsid w:val="00CF6F19"/>
    <w:rsid w:val="00CF7260"/>
    <w:rsid w:val="00CF73D4"/>
    <w:rsid w:val="00CF795E"/>
    <w:rsid w:val="00CF799C"/>
    <w:rsid w:val="00CF79BB"/>
    <w:rsid w:val="00CF7A01"/>
    <w:rsid w:val="00CF7A8C"/>
    <w:rsid w:val="00CF7F79"/>
    <w:rsid w:val="00CF7FCC"/>
    <w:rsid w:val="00D0014B"/>
    <w:rsid w:val="00D002AD"/>
    <w:rsid w:val="00D0030D"/>
    <w:rsid w:val="00D00518"/>
    <w:rsid w:val="00D005C1"/>
    <w:rsid w:val="00D007E7"/>
    <w:rsid w:val="00D00800"/>
    <w:rsid w:val="00D008F1"/>
    <w:rsid w:val="00D00900"/>
    <w:rsid w:val="00D01291"/>
    <w:rsid w:val="00D01857"/>
    <w:rsid w:val="00D01870"/>
    <w:rsid w:val="00D01941"/>
    <w:rsid w:val="00D0194E"/>
    <w:rsid w:val="00D02292"/>
    <w:rsid w:val="00D02308"/>
    <w:rsid w:val="00D025FB"/>
    <w:rsid w:val="00D026B8"/>
    <w:rsid w:val="00D02DF6"/>
    <w:rsid w:val="00D02E68"/>
    <w:rsid w:val="00D02FEF"/>
    <w:rsid w:val="00D03115"/>
    <w:rsid w:val="00D0317E"/>
    <w:rsid w:val="00D0335A"/>
    <w:rsid w:val="00D0361C"/>
    <w:rsid w:val="00D03682"/>
    <w:rsid w:val="00D036C7"/>
    <w:rsid w:val="00D03A88"/>
    <w:rsid w:val="00D03B89"/>
    <w:rsid w:val="00D04275"/>
    <w:rsid w:val="00D04347"/>
    <w:rsid w:val="00D04472"/>
    <w:rsid w:val="00D0447E"/>
    <w:rsid w:val="00D04597"/>
    <w:rsid w:val="00D04609"/>
    <w:rsid w:val="00D0461A"/>
    <w:rsid w:val="00D0465F"/>
    <w:rsid w:val="00D047BE"/>
    <w:rsid w:val="00D047D9"/>
    <w:rsid w:val="00D04954"/>
    <w:rsid w:val="00D04AF2"/>
    <w:rsid w:val="00D04D9B"/>
    <w:rsid w:val="00D04F24"/>
    <w:rsid w:val="00D04F9E"/>
    <w:rsid w:val="00D051B9"/>
    <w:rsid w:val="00D051F3"/>
    <w:rsid w:val="00D05325"/>
    <w:rsid w:val="00D054D0"/>
    <w:rsid w:val="00D0560E"/>
    <w:rsid w:val="00D056B5"/>
    <w:rsid w:val="00D0573D"/>
    <w:rsid w:val="00D057B4"/>
    <w:rsid w:val="00D0585B"/>
    <w:rsid w:val="00D05BA1"/>
    <w:rsid w:val="00D05BBA"/>
    <w:rsid w:val="00D05C0D"/>
    <w:rsid w:val="00D05C16"/>
    <w:rsid w:val="00D05C69"/>
    <w:rsid w:val="00D05D83"/>
    <w:rsid w:val="00D06051"/>
    <w:rsid w:val="00D062BE"/>
    <w:rsid w:val="00D066D0"/>
    <w:rsid w:val="00D067A6"/>
    <w:rsid w:val="00D068B3"/>
    <w:rsid w:val="00D0694D"/>
    <w:rsid w:val="00D06B86"/>
    <w:rsid w:val="00D06BCD"/>
    <w:rsid w:val="00D06CF4"/>
    <w:rsid w:val="00D07032"/>
    <w:rsid w:val="00D070A6"/>
    <w:rsid w:val="00D074D9"/>
    <w:rsid w:val="00D075BC"/>
    <w:rsid w:val="00D0768F"/>
    <w:rsid w:val="00D07E09"/>
    <w:rsid w:val="00D07E42"/>
    <w:rsid w:val="00D07EF9"/>
    <w:rsid w:val="00D1006A"/>
    <w:rsid w:val="00D1021E"/>
    <w:rsid w:val="00D102A9"/>
    <w:rsid w:val="00D102FA"/>
    <w:rsid w:val="00D107E7"/>
    <w:rsid w:val="00D109E4"/>
    <w:rsid w:val="00D10AA2"/>
    <w:rsid w:val="00D10B72"/>
    <w:rsid w:val="00D10BCD"/>
    <w:rsid w:val="00D10BF1"/>
    <w:rsid w:val="00D10C1F"/>
    <w:rsid w:val="00D10D43"/>
    <w:rsid w:val="00D10DB6"/>
    <w:rsid w:val="00D10DCD"/>
    <w:rsid w:val="00D10F84"/>
    <w:rsid w:val="00D1119D"/>
    <w:rsid w:val="00D111DB"/>
    <w:rsid w:val="00D1158E"/>
    <w:rsid w:val="00D119F2"/>
    <w:rsid w:val="00D11D30"/>
    <w:rsid w:val="00D11DF5"/>
    <w:rsid w:val="00D11EE5"/>
    <w:rsid w:val="00D11FE6"/>
    <w:rsid w:val="00D1201E"/>
    <w:rsid w:val="00D120F4"/>
    <w:rsid w:val="00D121D4"/>
    <w:rsid w:val="00D12597"/>
    <w:rsid w:val="00D125CA"/>
    <w:rsid w:val="00D1285E"/>
    <w:rsid w:val="00D128CA"/>
    <w:rsid w:val="00D12CB9"/>
    <w:rsid w:val="00D12F24"/>
    <w:rsid w:val="00D12FA0"/>
    <w:rsid w:val="00D13671"/>
    <w:rsid w:val="00D136DB"/>
    <w:rsid w:val="00D139C5"/>
    <w:rsid w:val="00D13A1D"/>
    <w:rsid w:val="00D13A89"/>
    <w:rsid w:val="00D13EC6"/>
    <w:rsid w:val="00D1439F"/>
    <w:rsid w:val="00D14524"/>
    <w:rsid w:val="00D1482B"/>
    <w:rsid w:val="00D14906"/>
    <w:rsid w:val="00D149FF"/>
    <w:rsid w:val="00D14ADF"/>
    <w:rsid w:val="00D14AEC"/>
    <w:rsid w:val="00D14F67"/>
    <w:rsid w:val="00D1516B"/>
    <w:rsid w:val="00D15721"/>
    <w:rsid w:val="00D158E0"/>
    <w:rsid w:val="00D159EF"/>
    <w:rsid w:val="00D15B3E"/>
    <w:rsid w:val="00D15BFA"/>
    <w:rsid w:val="00D15CB5"/>
    <w:rsid w:val="00D15E1F"/>
    <w:rsid w:val="00D16024"/>
    <w:rsid w:val="00D16053"/>
    <w:rsid w:val="00D160F4"/>
    <w:rsid w:val="00D16268"/>
    <w:rsid w:val="00D162B5"/>
    <w:rsid w:val="00D1653A"/>
    <w:rsid w:val="00D1654E"/>
    <w:rsid w:val="00D16768"/>
    <w:rsid w:val="00D16922"/>
    <w:rsid w:val="00D16925"/>
    <w:rsid w:val="00D16937"/>
    <w:rsid w:val="00D16F63"/>
    <w:rsid w:val="00D1701D"/>
    <w:rsid w:val="00D17030"/>
    <w:rsid w:val="00D17159"/>
    <w:rsid w:val="00D171F5"/>
    <w:rsid w:val="00D174A1"/>
    <w:rsid w:val="00D176B0"/>
    <w:rsid w:val="00D176E1"/>
    <w:rsid w:val="00D17865"/>
    <w:rsid w:val="00D178C4"/>
    <w:rsid w:val="00D179FE"/>
    <w:rsid w:val="00D17B84"/>
    <w:rsid w:val="00D17D53"/>
    <w:rsid w:val="00D17DAF"/>
    <w:rsid w:val="00D20111"/>
    <w:rsid w:val="00D2019B"/>
    <w:rsid w:val="00D20207"/>
    <w:rsid w:val="00D202C2"/>
    <w:rsid w:val="00D20316"/>
    <w:rsid w:val="00D203AF"/>
    <w:rsid w:val="00D203B6"/>
    <w:rsid w:val="00D20452"/>
    <w:rsid w:val="00D20C36"/>
    <w:rsid w:val="00D210CF"/>
    <w:rsid w:val="00D21211"/>
    <w:rsid w:val="00D21246"/>
    <w:rsid w:val="00D21345"/>
    <w:rsid w:val="00D21819"/>
    <w:rsid w:val="00D21B9E"/>
    <w:rsid w:val="00D21CAF"/>
    <w:rsid w:val="00D21D04"/>
    <w:rsid w:val="00D21D0D"/>
    <w:rsid w:val="00D21D60"/>
    <w:rsid w:val="00D21FA9"/>
    <w:rsid w:val="00D21FBD"/>
    <w:rsid w:val="00D220FC"/>
    <w:rsid w:val="00D222E9"/>
    <w:rsid w:val="00D224C1"/>
    <w:rsid w:val="00D2258D"/>
    <w:rsid w:val="00D2273E"/>
    <w:rsid w:val="00D2282F"/>
    <w:rsid w:val="00D228E6"/>
    <w:rsid w:val="00D22999"/>
    <w:rsid w:val="00D22B4B"/>
    <w:rsid w:val="00D22BC3"/>
    <w:rsid w:val="00D22D98"/>
    <w:rsid w:val="00D22D9F"/>
    <w:rsid w:val="00D22E64"/>
    <w:rsid w:val="00D22E69"/>
    <w:rsid w:val="00D22E80"/>
    <w:rsid w:val="00D22FC1"/>
    <w:rsid w:val="00D22FC4"/>
    <w:rsid w:val="00D23089"/>
    <w:rsid w:val="00D2314A"/>
    <w:rsid w:val="00D23331"/>
    <w:rsid w:val="00D2337A"/>
    <w:rsid w:val="00D2338C"/>
    <w:rsid w:val="00D236BE"/>
    <w:rsid w:val="00D2373C"/>
    <w:rsid w:val="00D2387D"/>
    <w:rsid w:val="00D238CA"/>
    <w:rsid w:val="00D23982"/>
    <w:rsid w:val="00D239C5"/>
    <w:rsid w:val="00D23BDA"/>
    <w:rsid w:val="00D241B2"/>
    <w:rsid w:val="00D241D8"/>
    <w:rsid w:val="00D24423"/>
    <w:rsid w:val="00D244C4"/>
    <w:rsid w:val="00D244E7"/>
    <w:rsid w:val="00D24559"/>
    <w:rsid w:val="00D24581"/>
    <w:rsid w:val="00D24622"/>
    <w:rsid w:val="00D24872"/>
    <w:rsid w:val="00D249EF"/>
    <w:rsid w:val="00D24A93"/>
    <w:rsid w:val="00D24B2D"/>
    <w:rsid w:val="00D24EA3"/>
    <w:rsid w:val="00D250EB"/>
    <w:rsid w:val="00D25128"/>
    <w:rsid w:val="00D25354"/>
    <w:rsid w:val="00D25396"/>
    <w:rsid w:val="00D2549C"/>
    <w:rsid w:val="00D255C6"/>
    <w:rsid w:val="00D25824"/>
    <w:rsid w:val="00D25B1F"/>
    <w:rsid w:val="00D25C15"/>
    <w:rsid w:val="00D25C57"/>
    <w:rsid w:val="00D25F56"/>
    <w:rsid w:val="00D25FBC"/>
    <w:rsid w:val="00D26114"/>
    <w:rsid w:val="00D261D9"/>
    <w:rsid w:val="00D26212"/>
    <w:rsid w:val="00D26292"/>
    <w:rsid w:val="00D262F6"/>
    <w:rsid w:val="00D263CD"/>
    <w:rsid w:val="00D26671"/>
    <w:rsid w:val="00D266DD"/>
    <w:rsid w:val="00D268D4"/>
    <w:rsid w:val="00D2693F"/>
    <w:rsid w:val="00D26AC9"/>
    <w:rsid w:val="00D26B07"/>
    <w:rsid w:val="00D26CB8"/>
    <w:rsid w:val="00D26D2C"/>
    <w:rsid w:val="00D26DEB"/>
    <w:rsid w:val="00D2724E"/>
    <w:rsid w:val="00D27681"/>
    <w:rsid w:val="00D277AB"/>
    <w:rsid w:val="00D277FD"/>
    <w:rsid w:val="00D27962"/>
    <w:rsid w:val="00D27A9B"/>
    <w:rsid w:val="00D27AD8"/>
    <w:rsid w:val="00D27B33"/>
    <w:rsid w:val="00D27B4D"/>
    <w:rsid w:val="00D27E53"/>
    <w:rsid w:val="00D27ED9"/>
    <w:rsid w:val="00D301FB"/>
    <w:rsid w:val="00D302C5"/>
    <w:rsid w:val="00D305FA"/>
    <w:rsid w:val="00D306C8"/>
    <w:rsid w:val="00D30841"/>
    <w:rsid w:val="00D308F3"/>
    <w:rsid w:val="00D30A39"/>
    <w:rsid w:val="00D30BB0"/>
    <w:rsid w:val="00D30F01"/>
    <w:rsid w:val="00D310DE"/>
    <w:rsid w:val="00D312AB"/>
    <w:rsid w:val="00D31338"/>
    <w:rsid w:val="00D31382"/>
    <w:rsid w:val="00D314D3"/>
    <w:rsid w:val="00D315F1"/>
    <w:rsid w:val="00D31725"/>
    <w:rsid w:val="00D317F7"/>
    <w:rsid w:val="00D3196F"/>
    <w:rsid w:val="00D31973"/>
    <w:rsid w:val="00D31C8A"/>
    <w:rsid w:val="00D31FB3"/>
    <w:rsid w:val="00D32012"/>
    <w:rsid w:val="00D320F8"/>
    <w:rsid w:val="00D32247"/>
    <w:rsid w:val="00D322CE"/>
    <w:rsid w:val="00D3233F"/>
    <w:rsid w:val="00D32371"/>
    <w:rsid w:val="00D3246D"/>
    <w:rsid w:val="00D32633"/>
    <w:rsid w:val="00D32692"/>
    <w:rsid w:val="00D3269E"/>
    <w:rsid w:val="00D32812"/>
    <w:rsid w:val="00D32A6B"/>
    <w:rsid w:val="00D32BD4"/>
    <w:rsid w:val="00D32C6B"/>
    <w:rsid w:val="00D32DFF"/>
    <w:rsid w:val="00D3315A"/>
    <w:rsid w:val="00D3319B"/>
    <w:rsid w:val="00D331B7"/>
    <w:rsid w:val="00D33269"/>
    <w:rsid w:val="00D332E3"/>
    <w:rsid w:val="00D33361"/>
    <w:rsid w:val="00D33601"/>
    <w:rsid w:val="00D336CC"/>
    <w:rsid w:val="00D33A29"/>
    <w:rsid w:val="00D33D1F"/>
    <w:rsid w:val="00D33E92"/>
    <w:rsid w:val="00D33EF0"/>
    <w:rsid w:val="00D33F64"/>
    <w:rsid w:val="00D33FC0"/>
    <w:rsid w:val="00D3402D"/>
    <w:rsid w:val="00D34060"/>
    <w:rsid w:val="00D341AC"/>
    <w:rsid w:val="00D34386"/>
    <w:rsid w:val="00D34492"/>
    <w:rsid w:val="00D34984"/>
    <w:rsid w:val="00D349A2"/>
    <w:rsid w:val="00D349C2"/>
    <w:rsid w:val="00D34E41"/>
    <w:rsid w:val="00D34E47"/>
    <w:rsid w:val="00D34FE4"/>
    <w:rsid w:val="00D3514E"/>
    <w:rsid w:val="00D3526D"/>
    <w:rsid w:val="00D353EF"/>
    <w:rsid w:val="00D353FF"/>
    <w:rsid w:val="00D3580F"/>
    <w:rsid w:val="00D35869"/>
    <w:rsid w:val="00D359B7"/>
    <w:rsid w:val="00D35CFF"/>
    <w:rsid w:val="00D35D11"/>
    <w:rsid w:val="00D35D20"/>
    <w:rsid w:val="00D362B2"/>
    <w:rsid w:val="00D362D4"/>
    <w:rsid w:val="00D365FB"/>
    <w:rsid w:val="00D367A6"/>
    <w:rsid w:val="00D369E5"/>
    <w:rsid w:val="00D36A9A"/>
    <w:rsid w:val="00D36ACA"/>
    <w:rsid w:val="00D36E6E"/>
    <w:rsid w:val="00D37144"/>
    <w:rsid w:val="00D37155"/>
    <w:rsid w:val="00D371F1"/>
    <w:rsid w:val="00D37412"/>
    <w:rsid w:val="00D374E5"/>
    <w:rsid w:val="00D37555"/>
    <w:rsid w:val="00D3756B"/>
    <w:rsid w:val="00D37613"/>
    <w:rsid w:val="00D379DA"/>
    <w:rsid w:val="00D37E34"/>
    <w:rsid w:val="00D37E7E"/>
    <w:rsid w:val="00D40016"/>
    <w:rsid w:val="00D400E4"/>
    <w:rsid w:val="00D4033B"/>
    <w:rsid w:val="00D40378"/>
    <w:rsid w:val="00D407F6"/>
    <w:rsid w:val="00D40A41"/>
    <w:rsid w:val="00D40B82"/>
    <w:rsid w:val="00D40DE5"/>
    <w:rsid w:val="00D40EEC"/>
    <w:rsid w:val="00D40F2E"/>
    <w:rsid w:val="00D40FD6"/>
    <w:rsid w:val="00D4116D"/>
    <w:rsid w:val="00D41291"/>
    <w:rsid w:val="00D41380"/>
    <w:rsid w:val="00D415EE"/>
    <w:rsid w:val="00D417B6"/>
    <w:rsid w:val="00D4196C"/>
    <w:rsid w:val="00D419F1"/>
    <w:rsid w:val="00D41B1D"/>
    <w:rsid w:val="00D41B6E"/>
    <w:rsid w:val="00D41DFA"/>
    <w:rsid w:val="00D41F31"/>
    <w:rsid w:val="00D4227C"/>
    <w:rsid w:val="00D42508"/>
    <w:rsid w:val="00D42693"/>
    <w:rsid w:val="00D4276D"/>
    <w:rsid w:val="00D42819"/>
    <w:rsid w:val="00D42837"/>
    <w:rsid w:val="00D42A27"/>
    <w:rsid w:val="00D42A47"/>
    <w:rsid w:val="00D42C5B"/>
    <w:rsid w:val="00D42CAA"/>
    <w:rsid w:val="00D42D35"/>
    <w:rsid w:val="00D42DA4"/>
    <w:rsid w:val="00D4306D"/>
    <w:rsid w:val="00D43604"/>
    <w:rsid w:val="00D43664"/>
    <w:rsid w:val="00D43688"/>
    <w:rsid w:val="00D4386A"/>
    <w:rsid w:val="00D43F71"/>
    <w:rsid w:val="00D43F8D"/>
    <w:rsid w:val="00D4425E"/>
    <w:rsid w:val="00D442C7"/>
    <w:rsid w:val="00D44358"/>
    <w:rsid w:val="00D443AA"/>
    <w:rsid w:val="00D444F8"/>
    <w:rsid w:val="00D44818"/>
    <w:rsid w:val="00D449A5"/>
    <w:rsid w:val="00D44A90"/>
    <w:rsid w:val="00D44EC3"/>
    <w:rsid w:val="00D44F5D"/>
    <w:rsid w:val="00D44F90"/>
    <w:rsid w:val="00D45345"/>
    <w:rsid w:val="00D453AF"/>
    <w:rsid w:val="00D454BA"/>
    <w:rsid w:val="00D457E3"/>
    <w:rsid w:val="00D459B5"/>
    <w:rsid w:val="00D459D5"/>
    <w:rsid w:val="00D45DCE"/>
    <w:rsid w:val="00D45E57"/>
    <w:rsid w:val="00D46059"/>
    <w:rsid w:val="00D46249"/>
    <w:rsid w:val="00D46564"/>
    <w:rsid w:val="00D465AA"/>
    <w:rsid w:val="00D466BA"/>
    <w:rsid w:val="00D46725"/>
    <w:rsid w:val="00D467B5"/>
    <w:rsid w:val="00D468A4"/>
    <w:rsid w:val="00D46EF1"/>
    <w:rsid w:val="00D4701C"/>
    <w:rsid w:val="00D47346"/>
    <w:rsid w:val="00D473C6"/>
    <w:rsid w:val="00D473D5"/>
    <w:rsid w:val="00D4744B"/>
    <w:rsid w:val="00D474BC"/>
    <w:rsid w:val="00D475F5"/>
    <w:rsid w:val="00D4772A"/>
    <w:rsid w:val="00D47753"/>
    <w:rsid w:val="00D47880"/>
    <w:rsid w:val="00D478DB"/>
    <w:rsid w:val="00D47B02"/>
    <w:rsid w:val="00D47BB6"/>
    <w:rsid w:val="00D47C53"/>
    <w:rsid w:val="00D47E8A"/>
    <w:rsid w:val="00D47EBF"/>
    <w:rsid w:val="00D500ED"/>
    <w:rsid w:val="00D50166"/>
    <w:rsid w:val="00D5026F"/>
    <w:rsid w:val="00D50287"/>
    <w:rsid w:val="00D5056D"/>
    <w:rsid w:val="00D50693"/>
    <w:rsid w:val="00D50890"/>
    <w:rsid w:val="00D5097C"/>
    <w:rsid w:val="00D5107F"/>
    <w:rsid w:val="00D51308"/>
    <w:rsid w:val="00D513A8"/>
    <w:rsid w:val="00D51483"/>
    <w:rsid w:val="00D5148A"/>
    <w:rsid w:val="00D515AB"/>
    <w:rsid w:val="00D5164A"/>
    <w:rsid w:val="00D516AD"/>
    <w:rsid w:val="00D5176A"/>
    <w:rsid w:val="00D51799"/>
    <w:rsid w:val="00D51AA0"/>
    <w:rsid w:val="00D51C29"/>
    <w:rsid w:val="00D51C4D"/>
    <w:rsid w:val="00D51CD4"/>
    <w:rsid w:val="00D51D22"/>
    <w:rsid w:val="00D5220D"/>
    <w:rsid w:val="00D5236A"/>
    <w:rsid w:val="00D523AC"/>
    <w:rsid w:val="00D52762"/>
    <w:rsid w:val="00D5291C"/>
    <w:rsid w:val="00D52A5A"/>
    <w:rsid w:val="00D52AC8"/>
    <w:rsid w:val="00D52B60"/>
    <w:rsid w:val="00D52D8B"/>
    <w:rsid w:val="00D52EAB"/>
    <w:rsid w:val="00D52EB7"/>
    <w:rsid w:val="00D53013"/>
    <w:rsid w:val="00D5325B"/>
    <w:rsid w:val="00D5334B"/>
    <w:rsid w:val="00D53673"/>
    <w:rsid w:val="00D536B7"/>
    <w:rsid w:val="00D537F1"/>
    <w:rsid w:val="00D5396C"/>
    <w:rsid w:val="00D53AEF"/>
    <w:rsid w:val="00D53B0E"/>
    <w:rsid w:val="00D53BF4"/>
    <w:rsid w:val="00D53D79"/>
    <w:rsid w:val="00D53E54"/>
    <w:rsid w:val="00D53EE0"/>
    <w:rsid w:val="00D53F41"/>
    <w:rsid w:val="00D54349"/>
    <w:rsid w:val="00D543B7"/>
    <w:rsid w:val="00D54755"/>
    <w:rsid w:val="00D5476F"/>
    <w:rsid w:val="00D548F0"/>
    <w:rsid w:val="00D54901"/>
    <w:rsid w:val="00D54A63"/>
    <w:rsid w:val="00D54E59"/>
    <w:rsid w:val="00D54E9D"/>
    <w:rsid w:val="00D54EB1"/>
    <w:rsid w:val="00D5531E"/>
    <w:rsid w:val="00D5538A"/>
    <w:rsid w:val="00D55522"/>
    <w:rsid w:val="00D5559B"/>
    <w:rsid w:val="00D555FD"/>
    <w:rsid w:val="00D55621"/>
    <w:rsid w:val="00D556A0"/>
    <w:rsid w:val="00D556C9"/>
    <w:rsid w:val="00D55907"/>
    <w:rsid w:val="00D55934"/>
    <w:rsid w:val="00D559F9"/>
    <w:rsid w:val="00D55A11"/>
    <w:rsid w:val="00D55B26"/>
    <w:rsid w:val="00D55BD9"/>
    <w:rsid w:val="00D55E5E"/>
    <w:rsid w:val="00D55F6C"/>
    <w:rsid w:val="00D562C6"/>
    <w:rsid w:val="00D562CD"/>
    <w:rsid w:val="00D564DC"/>
    <w:rsid w:val="00D5698A"/>
    <w:rsid w:val="00D56CD7"/>
    <w:rsid w:val="00D56D2A"/>
    <w:rsid w:val="00D56DF3"/>
    <w:rsid w:val="00D56FF7"/>
    <w:rsid w:val="00D571B9"/>
    <w:rsid w:val="00D571DF"/>
    <w:rsid w:val="00D572C9"/>
    <w:rsid w:val="00D577F6"/>
    <w:rsid w:val="00D57A6C"/>
    <w:rsid w:val="00D57AFC"/>
    <w:rsid w:val="00D57D02"/>
    <w:rsid w:val="00D57DF3"/>
    <w:rsid w:val="00D57FEE"/>
    <w:rsid w:val="00D60007"/>
    <w:rsid w:val="00D6007C"/>
    <w:rsid w:val="00D6010E"/>
    <w:rsid w:val="00D60208"/>
    <w:rsid w:val="00D6024E"/>
    <w:rsid w:val="00D60251"/>
    <w:rsid w:val="00D6043A"/>
    <w:rsid w:val="00D6075F"/>
    <w:rsid w:val="00D608CE"/>
    <w:rsid w:val="00D60A23"/>
    <w:rsid w:val="00D60A3E"/>
    <w:rsid w:val="00D60B54"/>
    <w:rsid w:val="00D60B60"/>
    <w:rsid w:val="00D60BAF"/>
    <w:rsid w:val="00D60CE1"/>
    <w:rsid w:val="00D60E70"/>
    <w:rsid w:val="00D60EF6"/>
    <w:rsid w:val="00D60F52"/>
    <w:rsid w:val="00D60F9D"/>
    <w:rsid w:val="00D61097"/>
    <w:rsid w:val="00D61334"/>
    <w:rsid w:val="00D614FD"/>
    <w:rsid w:val="00D61690"/>
    <w:rsid w:val="00D616F4"/>
    <w:rsid w:val="00D6170A"/>
    <w:rsid w:val="00D617E6"/>
    <w:rsid w:val="00D61D06"/>
    <w:rsid w:val="00D61E2D"/>
    <w:rsid w:val="00D61E66"/>
    <w:rsid w:val="00D61F28"/>
    <w:rsid w:val="00D620F2"/>
    <w:rsid w:val="00D622CE"/>
    <w:rsid w:val="00D62861"/>
    <w:rsid w:val="00D628B8"/>
    <w:rsid w:val="00D62958"/>
    <w:rsid w:val="00D62965"/>
    <w:rsid w:val="00D62F94"/>
    <w:rsid w:val="00D6304B"/>
    <w:rsid w:val="00D630E2"/>
    <w:rsid w:val="00D63102"/>
    <w:rsid w:val="00D63319"/>
    <w:rsid w:val="00D63382"/>
    <w:rsid w:val="00D6348B"/>
    <w:rsid w:val="00D63624"/>
    <w:rsid w:val="00D6368D"/>
    <w:rsid w:val="00D63753"/>
    <w:rsid w:val="00D637F5"/>
    <w:rsid w:val="00D6397C"/>
    <w:rsid w:val="00D63B1E"/>
    <w:rsid w:val="00D63B93"/>
    <w:rsid w:val="00D63D4E"/>
    <w:rsid w:val="00D63F2E"/>
    <w:rsid w:val="00D64087"/>
    <w:rsid w:val="00D6426C"/>
    <w:rsid w:val="00D642A3"/>
    <w:rsid w:val="00D64330"/>
    <w:rsid w:val="00D6449C"/>
    <w:rsid w:val="00D64582"/>
    <w:rsid w:val="00D645A3"/>
    <w:rsid w:val="00D646E1"/>
    <w:rsid w:val="00D6483E"/>
    <w:rsid w:val="00D649FB"/>
    <w:rsid w:val="00D64AC8"/>
    <w:rsid w:val="00D64B4A"/>
    <w:rsid w:val="00D64C2B"/>
    <w:rsid w:val="00D64C6C"/>
    <w:rsid w:val="00D64F06"/>
    <w:rsid w:val="00D64F45"/>
    <w:rsid w:val="00D6504E"/>
    <w:rsid w:val="00D6519D"/>
    <w:rsid w:val="00D652D7"/>
    <w:rsid w:val="00D653E7"/>
    <w:rsid w:val="00D65465"/>
    <w:rsid w:val="00D654B7"/>
    <w:rsid w:val="00D654D2"/>
    <w:rsid w:val="00D655E6"/>
    <w:rsid w:val="00D6596F"/>
    <w:rsid w:val="00D65A15"/>
    <w:rsid w:val="00D65A2B"/>
    <w:rsid w:val="00D65AC8"/>
    <w:rsid w:val="00D65C4D"/>
    <w:rsid w:val="00D65D6A"/>
    <w:rsid w:val="00D65F1D"/>
    <w:rsid w:val="00D6674D"/>
    <w:rsid w:val="00D6676B"/>
    <w:rsid w:val="00D667C8"/>
    <w:rsid w:val="00D668CB"/>
    <w:rsid w:val="00D6696D"/>
    <w:rsid w:val="00D66A8A"/>
    <w:rsid w:val="00D66AEC"/>
    <w:rsid w:val="00D66C5C"/>
    <w:rsid w:val="00D66CE2"/>
    <w:rsid w:val="00D67007"/>
    <w:rsid w:val="00D67321"/>
    <w:rsid w:val="00D6745C"/>
    <w:rsid w:val="00D67551"/>
    <w:rsid w:val="00D67621"/>
    <w:rsid w:val="00D67AEE"/>
    <w:rsid w:val="00D67B7F"/>
    <w:rsid w:val="00D67BC2"/>
    <w:rsid w:val="00D67D01"/>
    <w:rsid w:val="00D67D39"/>
    <w:rsid w:val="00D67FC5"/>
    <w:rsid w:val="00D701D1"/>
    <w:rsid w:val="00D70232"/>
    <w:rsid w:val="00D70245"/>
    <w:rsid w:val="00D70269"/>
    <w:rsid w:val="00D7028D"/>
    <w:rsid w:val="00D70495"/>
    <w:rsid w:val="00D70546"/>
    <w:rsid w:val="00D707D5"/>
    <w:rsid w:val="00D70BFF"/>
    <w:rsid w:val="00D70DAB"/>
    <w:rsid w:val="00D7100C"/>
    <w:rsid w:val="00D713DB"/>
    <w:rsid w:val="00D7141E"/>
    <w:rsid w:val="00D71E7C"/>
    <w:rsid w:val="00D71F14"/>
    <w:rsid w:val="00D72020"/>
    <w:rsid w:val="00D724CF"/>
    <w:rsid w:val="00D72A6B"/>
    <w:rsid w:val="00D73445"/>
    <w:rsid w:val="00D73699"/>
    <w:rsid w:val="00D73790"/>
    <w:rsid w:val="00D739DC"/>
    <w:rsid w:val="00D73AAD"/>
    <w:rsid w:val="00D73B17"/>
    <w:rsid w:val="00D73C21"/>
    <w:rsid w:val="00D73C28"/>
    <w:rsid w:val="00D73DB0"/>
    <w:rsid w:val="00D7400D"/>
    <w:rsid w:val="00D74096"/>
    <w:rsid w:val="00D7409E"/>
    <w:rsid w:val="00D74189"/>
    <w:rsid w:val="00D74238"/>
    <w:rsid w:val="00D747B3"/>
    <w:rsid w:val="00D74BBA"/>
    <w:rsid w:val="00D74E99"/>
    <w:rsid w:val="00D74EBD"/>
    <w:rsid w:val="00D74F09"/>
    <w:rsid w:val="00D74FB9"/>
    <w:rsid w:val="00D75164"/>
    <w:rsid w:val="00D7525C"/>
    <w:rsid w:val="00D752FA"/>
    <w:rsid w:val="00D753F1"/>
    <w:rsid w:val="00D755D5"/>
    <w:rsid w:val="00D75686"/>
    <w:rsid w:val="00D75812"/>
    <w:rsid w:val="00D7586F"/>
    <w:rsid w:val="00D75AB3"/>
    <w:rsid w:val="00D75ADE"/>
    <w:rsid w:val="00D75CB5"/>
    <w:rsid w:val="00D75F3C"/>
    <w:rsid w:val="00D76011"/>
    <w:rsid w:val="00D760BD"/>
    <w:rsid w:val="00D764B7"/>
    <w:rsid w:val="00D7654A"/>
    <w:rsid w:val="00D76A72"/>
    <w:rsid w:val="00D76AD7"/>
    <w:rsid w:val="00D76B62"/>
    <w:rsid w:val="00D76CE7"/>
    <w:rsid w:val="00D76CEA"/>
    <w:rsid w:val="00D76D91"/>
    <w:rsid w:val="00D77415"/>
    <w:rsid w:val="00D77505"/>
    <w:rsid w:val="00D77734"/>
    <w:rsid w:val="00D77789"/>
    <w:rsid w:val="00D77895"/>
    <w:rsid w:val="00D778F8"/>
    <w:rsid w:val="00D77A45"/>
    <w:rsid w:val="00D77B0F"/>
    <w:rsid w:val="00D77DBA"/>
    <w:rsid w:val="00D8002C"/>
    <w:rsid w:val="00D801C2"/>
    <w:rsid w:val="00D802EC"/>
    <w:rsid w:val="00D80402"/>
    <w:rsid w:val="00D80673"/>
    <w:rsid w:val="00D808AE"/>
    <w:rsid w:val="00D80B26"/>
    <w:rsid w:val="00D80CFB"/>
    <w:rsid w:val="00D80DBD"/>
    <w:rsid w:val="00D80F6D"/>
    <w:rsid w:val="00D810E2"/>
    <w:rsid w:val="00D81166"/>
    <w:rsid w:val="00D8123F"/>
    <w:rsid w:val="00D8124C"/>
    <w:rsid w:val="00D812A7"/>
    <w:rsid w:val="00D8131A"/>
    <w:rsid w:val="00D81347"/>
    <w:rsid w:val="00D813BF"/>
    <w:rsid w:val="00D816E8"/>
    <w:rsid w:val="00D817DF"/>
    <w:rsid w:val="00D817F3"/>
    <w:rsid w:val="00D81A02"/>
    <w:rsid w:val="00D81BDF"/>
    <w:rsid w:val="00D81FB5"/>
    <w:rsid w:val="00D81FBF"/>
    <w:rsid w:val="00D8236F"/>
    <w:rsid w:val="00D8284B"/>
    <w:rsid w:val="00D829BD"/>
    <w:rsid w:val="00D82B54"/>
    <w:rsid w:val="00D82B9A"/>
    <w:rsid w:val="00D82BF5"/>
    <w:rsid w:val="00D82C36"/>
    <w:rsid w:val="00D82DAB"/>
    <w:rsid w:val="00D82DC0"/>
    <w:rsid w:val="00D8301E"/>
    <w:rsid w:val="00D8315A"/>
    <w:rsid w:val="00D83388"/>
    <w:rsid w:val="00D83412"/>
    <w:rsid w:val="00D8358A"/>
    <w:rsid w:val="00D8387F"/>
    <w:rsid w:val="00D838E6"/>
    <w:rsid w:val="00D83905"/>
    <w:rsid w:val="00D83BD4"/>
    <w:rsid w:val="00D83CB2"/>
    <w:rsid w:val="00D83D39"/>
    <w:rsid w:val="00D83E53"/>
    <w:rsid w:val="00D83FD6"/>
    <w:rsid w:val="00D84000"/>
    <w:rsid w:val="00D840E2"/>
    <w:rsid w:val="00D8461D"/>
    <w:rsid w:val="00D847F1"/>
    <w:rsid w:val="00D84A4B"/>
    <w:rsid w:val="00D84ADA"/>
    <w:rsid w:val="00D84B5D"/>
    <w:rsid w:val="00D84F8A"/>
    <w:rsid w:val="00D851FC"/>
    <w:rsid w:val="00D853ED"/>
    <w:rsid w:val="00D854D7"/>
    <w:rsid w:val="00D85541"/>
    <w:rsid w:val="00D855AB"/>
    <w:rsid w:val="00D85649"/>
    <w:rsid w:val="00D85675"/>
    <w:rsid w:val="00D85775"/>
    <w:rsid w:val="00D85845"/>
    <w:rsid w:val="00D858E8"/>
    <w:rsid w:val="00D85953"/>
    <w:rsid w:val="00D859B5"/>
    <w:rsid w:val="00D85BF5"/>
    <w:rsid w:val="00D8603B"/>
    <w:rsid w:val="00D86456"/>
    <w:rsid w:val="00D86524"/>
    <w:rsid w:val="00D866D8"/>
    <w:rsid w:val="00D869E6"/>
    <w:rsid w:val="00D86A6F"/>
    <w:rsid w:val="00D86D29"/>
    <w:rsid w:val="00D86F52"/>
    <w:rsid w:val="00D8706A"/>
    <w:rsid w:val="00D871C6"/>
    <w:rsid w:val="00D871F8"/>
    <w:rsid w:val="00D871FC"/>
    <w:rsid w:val="00D87316"/>
    <w:rsid w:val="00D87579"/>
    <w:rsid w:val="00D876E9"/>
    <w:rsid w:val="00D87738"/>
    <w:rsid w:val="00D8783D"/>
    <w:rsid w:val="00D8784E"/>
    <w:rsid w:val="00D878F6"/>
    <w:rsid w:val="00D87967"/>
    <w:rsid w:val="00D87B9B"/>
    <w:rsid w:val="00D87D85"/>
    <w:rsid w:val="00D90008"/>
    <w:rsid w:val="00D900C4"/>
    <w:rsid w:val="00D9027C"/>
    <w:rsid w:val="00D9029A"/>
    <w:rsid w:val="00D905A8"/>
    <w:rsid w:val="00D907F2"/>
    <w:rsid w:val="00D90983"/>
    <w:rsid w:val="00D90B43"/>
    <w:rsid w:val="00D90B6B"/>
    <w:rsid w:val="00D90C47"/>
    <w:rsid w:val="00D90E9C"/>
    <w:rsid w:val="00D91161"/>
    <w:rsid w:val="00D913B6"/>
    <w:rsid w:val="00D91474"/>
    <w:rsid w:val="00D914B3"/>
    <w:rsid w:val="00D917C4"/>
    <w:rsid w:val="00D9197E"/>
    <w:rsid w:val="00D91AB0"/>
    <w:rsid w:val="00D91B23"/>
    <w:rsid w:val="00D91CF1"/>
    <w:rsid w:val="00D91E8B"/>
    <w:rsid w:val="00D91FF5"/>
    <w:rsid w:val="00D9210D"/>
    <w:rsid w:val="00D92333"/>
    <w:rsid w:val="00D923E5"/>
    <w:rsid w:val="00D929CC"/>
    <w:rsid w:val="00D92BC2"/>
    <w:rsid w:val="00D92BDA"/>
    <w:rsid w:val="00D92C19"/>
    <w:rsid w:val="00D92CD7"/>
    <w:rsid w:val="00D930C8"/>
    <w:rsid w:val="00D93263"/>
    <w:rsid w:val="00D9340B"/>
    <w:rsid w:val="00D93509"/>
    <w:rsid w:val="00D93795"/>
    <w:rsid w:val="00D937B9"/>
    <w:rsid w:val="00D93A6E"/>
    <w:rsid w:val="00D93C10"/>
    <w:rsid w:val="00D93C8D"/>
    <w:rsid w:val="00D93E90"/>
    <w:rsid w:val="00D94074"/>
    <w:rsid w:val="00D9419E"/>
    <w:rsid w:val="00D943AF"/>
    <w:rsid w:val="00D9449D"/>
    <w:rsid w:val="00D945FA"/>
    <w:rsid w:val="00D949B1"/>
    <w:rsid w:val="00D94AAB"/>
    <w:rsid w:val="00D94DC6"/>
    <w:rsid w:val="00D94F7C"/>
    <w:rsid w:val="00D94FBB"/>
    <w:rsid w:val="00D9503C"/>
    <w:rsid w:val="00D95177"/>
    <w:rsid w:val="00D95270"/>
    <w:rsid w:val="00D952C6"/>
    <w:rsid w:val="00D953B6"/>
    <w:rsid w:val="00D9548E"/>
    <w:rsid w:val="00D95A7C"/>
    <w:rsid w:val="00D95AC2"/>
    <w:rsid w:val="00D95D58"/>
    <w:rsid w:val="00D964EC"/>
    <w:rsid w:val="00D965EB"/>
    <w:rsid w:val="00D96623"/>
    <w:rsid w:val="00D9666A"/>
    <w:rsid w:val="00D968AC"/>
    <w:rsid w:val="00D968B4"/>
    <w:rsid w:val="00D96B80"/>
    <w:rsid w:val="00D96BA2"/>
    <w:rsid w:val="00D96E66"/>
    <w:rsid w:val="00D96F77"/>
    <w:rsid w:val="00D96FA5"/>
    <w:rsid w:val="00D96FBF"/>
    <w:rsid w:val="00D97025"/>
    <w:rsid w:val="00D9715E"/>
    <w:rsid w:val="00D97180"/>
    <w:rsid w:val="00D9719E"/>
    <w:rsid w:val="00D97424"/>
    <w:rsid w:val="00D974AA"/>
    <w:rsid w:val="00D976F7"/>
    <w:rsid w:val="00D977D1"/>
    <w:rsid w:val="00D9790C"/>
    <w:rsid w:val="00D97929"/>
    <w:rsid w:val="00D979F5"/>
    <w:rsid w:val="00D97A19"/>
    <w:rsid w:val="00D97B07"/>
    <w:rsid w:val="00D97DC4"/>
    <w:rsid w:val="00D97E83"/>
    <w:rsid w:val="00D97FF9"/>
    <w:rsid w:val="00DA0252"/>
    <w:rsid w:val="00DA02F4"/>
    <w:rsid w:val="00DA0456"/>
    <w:rsid w:val="00DA045D"/>
    <w:rsid w:val="00DA0BB2"/>
    <w:rsid w:val="00DA0E3E"/>
    <w:rsid w:val="00DA1056"/>
    <w:rsid w:val="00DA13AA"/>
    <w:rsid w:val="00DA14DB"/>
    <w:rsid w:val="00DA163C"/>
    <w:rsid w:val="00DA16C4"/>
    <w:rsid w:val="00DA17A4"/>
    <w:rsid w:val="00DA18B8"/>
    <w:rsid w:val="00DA18D9"/>
    <w:rsid w:val="00DA1A33"/>
    <w:rsid w:val="00DA1A78"/>
    <w:rsid w:val="00DA1C77"/>
    <w:rsid w:val="00DA1D46"/>
    <w:rsid w:val="00DA1E2C"/>
    <w:rsid w:val="00DA2131"/>
    <w:rsid w:val="00DA2141"/>
    <w:rsid w:val="00DA2266"/>
    <w:rsid w:val="00DA2447"/>
    <w:rsid w:val="00DA2598"/>
    <w:rsid w:val="00DA2770"/>
    <w:rsid w:val="00DA350D"/>
    <w:rsid w:val="00DA3577"/>
    <w:rsid w:val="00DA3634"/>
    <w:rsid w:val="00DA3A30"/>
    <w:rsid w:val="00DA3B09"/>
    <w:rsid w:val="00DA3EDE"/>
    <w:rsid w:val="00DA461A"/>
    <w:rsid w:val="00DA487C"/>
    <w:rsid w:val="00DA497E"/>
    <w:rsid w:val="00DA498C"/>
    <w:rsid w:val="00DA4B13"/>
    <w:rsid w:val="00DA4B7F"/>
    <w:rsid w:val="00DA4BD8"/>
    <w:rsid w:val="00DA4C37"/>
    <w:rsid w:val="00DA4C69"/>
    <w:rsid w:val="00DA4C9E"/>
    <w:rsid w:val="00DA4D1A"/>
    <w:rsid w:val="00DA4E05"/>
    <w:rsid w:val="00DA4EBA"/>
    <w:rsid w:val="00DA547C"/>
    <w:rsid w:val="00DA55F1"/>
    <w:rsid w:val="00DA5B51"/>
    <w:rsid w:val="00DA5C7F"/>
    <w:rsid w:val="00DA5DAC"/>
    <w:rsid w:val="00DA61B4"/>
    <w:rsid w:val="00DA6244"/>
    <w:rsid w:val="00DA640F"/>
    <w:rsid w:val="00DA6459"/>
    <w:rsid w:val="00DA685E"/>
    <w:rsid w:val="00DA6873"/>
    <w:rsid w:val="00DA6984"/>
    <w:rsid w:val="00DA6A16"/>
    <w:rsid w:val="00DA6C82"/>
    <w:rsid w:val="00DA6DF9"/>
    <w:rsid w:val="00DA6E68"/>
    <w:rsid w:val="00DA6F7D"/>
    <w:rsid w:val="00DA6FD6"/>
    <w:rsid w:val="00DA7198"/>
    <w:rsid w:val="00DA74AB"/>
    <w:rsid w:val="00DA757F"/>
    <w:rsid w:val="00DA75A6"/>
    <w:rsid w:val="00DA7B33"/>
    <w:rsid w:val="00DA7B73"/>
    <w:rsid w:val="00DA7D4E"/>
    <w:rsid w:val="00DA7D86"/>
    <w:rsid w:val="00DA7DFD"/>
    <w:rsid w:val="00DB00B4"/>
    <w:rsid w:val="00DB0106"/>
    <w:rsid w:val="00DB0138"/>
    <w:rsid w:val="00DB0308"/>
    <w:rsid w:val="00DB0414"/>
    <w:rsid w:val="00DB0462"/>
    <w:rsid w:val="00DB08FD"/>
    <w:rsid w:val="00DB0D99"/>
    <w:rsid w:val="00DB1304"/>
    <w:rsid w:val="00DB144F"/>
    <w:rsid w:val="00DB1513"/>
    <w:rsid w:val="00DB1541"/>
    <w:rsid w:val="00DB1672"/>
    <w:rsid w:val="00DB1ACB"/>
    <w:rsid w:val="00DB1BFA"/>
    <w:rsid w:val="00DB1C89"/>
    <w:rsid w:val="00DB1CDF"/>
    <w:rsid w:val="00DB1D7A"/>
    <w:rsid w:val="00DB1F42"/>
    <w:rsid w:val="00DB23D3"/>
    <w:rsid w:val="00DB2549"/>
    <w:rsid w:val="00DB257D"/>
    <w:rsid w:val="00DB278E"/>
    <w:rsid w:val="00DB2DBF"/>
    <w:rsid w:val="00DB2EEE"/>
    <w:rsid w:val="00DB2F36"/>
    <w:rsid w:val="00DB314A"/>
    <w:rsid w:val="00DB3279"/>
    <w:rsid w:val="00DB3313"/>
    <w:rsid w:val="00DB33DD"/>
    <w:rsid w:val="00DB343A"/>
    <w:rsid w:val="00DB3612"/>
    <w:rsid w:val="00DB37AF"/>
    <w:rsid w:val="00DB37B9"/>
    <w:rsid w:val="00DB37DB"/>
    <w:rsid w:val="00DB37F6"/>
    <w:rsid w:val="00DB3B96"/>
    <w:rsid w:val="00DB3C69"/>
    <w:rsid w:val="00DB3E7F"/>
    <w:rsid w:val="00DB3EB8"/>
    <w:rsid w:val="00DB3FF6"/>
    <w:rsid w:val="00DB407B"/>
    <w:rsid w:val="00DB42BD"/>
    <w:rsid w:val="00DB42EE"/>
    <w:rsid w:val="00DB4482"/>
    <w:rsid w:val="00DB44D0"/>
    <w:rsid w:val="00DB46C9"/>
    <w:rsid w:val="00DB47E0"/>
    <w:rsid w:val="00DB485F"/>
    <w:rsid w:val="00DB4906"/>
    <w:rsid w:val="00DB4998"/>
    <w:rsid w:val="00DB4A7C"/>
    <w:rsid w:val="00DB4BC5"/>
    <w:rsid w:val="00DB4CBF"/>
    <w:rsid w:val="00DB4CD0"/>
    <w:rsid w:val="00DB4E6D"/>
    <w:rsid w:val="00DB4EF3"/>
    <w:rsid w:val="00DB4F00"/>
    <w:rsid w:val="00DB50A3"/>
    <w:rsid w:val="00DB5110"/>
    <w:rsid w:val="00DB5186"/>
    <w:rsid w:val="00DB51AE"/>
    <w:rsid w:val="00DB529F"/>
    <w:rsid w:val="00DB52E1"/>
    <w:rsid w:val="00DB5373"/>
    <w:rsid w:val="00DB54E5"/>
    <w:rsid w:val="00DB57B7"/>
    <w:rsid w:val="00DB5BD4"/>
    <w:rsid w:val="00DB5C25"/>
    <w:rsid w:val="00DB5E03"/>
    <w:rsid w:val="00DB5EDB"/>
    <w:rsid w:val="00DB5F1D"/>
    <w:rsid w:val="00DB5F22"/>
    <w:rsid w:val="00DB5FE8"/>
    <w:rsid w:val="00DB6067"/>
    <w:rsid w:val="00DB61B1"/>
    <w:rsid w:val="00DB6309"/>
    <w:rsid w:val="00DB637D"/>
    <w:rsid w:val="00DB6487"/>
    <w:rsid w:val="00DB6506"/>
    <w:rsid w:val="00DB6511"/>
    <w:rsid w:val="00DB6634"/>
    <w:rsid w:val="00DB66BB"/>
    <w:rsid w:val="00DB673A"/>
    <w:rsid w:val="00DB6A69"/>
    <w:rsid w:val="00DB6CEF"/>
    <w:rsid w:val="00DB6ED6"/>
    <w:rsid w:val="00DB6F82"/>
    <w:rsid w:val="00DB700A"/>
    <w:rsid w:val="00DB7214"/>
    <w:rsid w:val="00DB7340"/>
    <w:rsid w:val="00DB738A"/>
    <w:rsid w:val="00DB73C1"/>
    <w:rsid w:val="00DB745F"/>
    <w:rsid w:val="00DB76ED"/>
    <w:rsid w:val="00DB78A3"/>
    <w:rsid w:val="00DB7A1E"/>
    <w:rsid w:val="00DB7B31"/>
    <w:rsid w:val="00DB7BEC"/>
    <w:rsid w:val="00DB7CC1"/>
    <w:rsid w:val="00DB7CCE"/>
    <w:rsid w:val="00DB7CD0"/>
    <w:rsid w:val="00DB7D71"/>
    <w:rsid w:val="00DC0237"/>
    <w:rsid w:val="00DC04F4"/>
    <w:rsid w:val="00DC053A"/>
    <w:rsid w:val="00DC059C"/>
    <w:rsid w:val="00DC07B6"/>
    <w:rsid w:val="00DC093C"/>
    <w:rsid w:val="00DC0C10"/>
    <w:rsid w:val="00DC105F"/>
    <w:rsid w:val="00DC1075"/>
    <w:rsid w:val="00DC1136"/>
    <w:rsid w:val="00DC116B"/>
    <w:rsid w:val="00DC120F"/>
    <w:rsid w:val="00DC1328"/>
    <w:rsid w:val="00DC1469"/>
    <w:rsid w:val="00DC1562"/>
    <w:rsid w:val="00DC1BA6"/>
    <w:rsid w:val="00DC1E2A"/>
    <w:rsid w:val="00DC2261"/>
    <w:rsid w:val="00DC2480"/>
    <w:rsid w:val="00DC24BF"/>
    <w:rsid w:val="00DC28E8"/>
    <w:rsid w:val="00DC29AC"/>
    <w:rsid w:val="00DC2B5A"/>
    <w:rsid w:val="00DC2E00"/>
    <w:rsid w:val="00DC2EBB"/>
    <w:rsid w:val="00DC308F"/>
    <w:rsid w:val="00DC30C4"/>
    <w:rsid w:val="00DC30F4"/>
    <w:rsid w:val="00DC330A"/>
    <w:rsid w:val="00DC3996"/>
    <w:rsid w:val="00DC3AFF"/>
    <w:rsid w:val="00DC3D33"/>
    <w:rsid w:val="00DC3FDB"/>
    <w:rsid w:val="00DC403D"/>
    <w:rsid w:val="00DC42B0"/>
    <w:rsid w:val="00DC4362"/>
    <w:rsid w:val="00DC439B"/>
    <w:rsid w:val="00DC4636"/>
    <w:rsid w:val="00DC4A33"/>
    <w:rsid w:val="00DC4B0A"/>
    <w:rsid w:val="00DC4D7D"/>
    <w:rsid w:val="00DC4D93"/>
    <w:rsid w:val="00DC5022"/>
    <w:rsid w:val="00DC517B"/>
    <w:rsid w:val="00DC5248"/>
    <w:rsid w:val="00DC52D2"/>
    <w:rsid w:val="00DC534D"/>
    <w:rsid w:val="00DC54EF"/>
    <w:rsid w:val="00DC5680"/>
    <w:rsid w:val="00DC5AF7"/>
    <w:rsid w:val="00DC5C9B"/>
    <w:rsid w:val="00DC5DB3"/>
    <w:rsid w:val="00DC5F62"/>
    <w:rsid w:val="00DC6023"/>
    <w:rsid w:val="00DC61E4"/>
    <w:rsid w:val="00DC621C"/>
    <w:rsid w:val="00DC62BC"/>
    <w:rsid w:val="00DC64E0"/>
    <w:rsid w:val="00DC6DCE"/>
    <w:rsid w:val="00DC6E55"/>
    <w:rsid w:val="00DC7051"/>
    <w:rsid w:val="00DC718C"/>
    <w:rsid w:val="00DC72FB"/>
    <w:rsid w:val="00DC738C"/>
    <w:rsid w:val="00DC73E7"/>
    <w:rsid w:val="00DC76C9"/>
    <w:rsid w:val="00DC78BE"/>
    <w:rsid w:val="00DC7983"/>
    <w:rsid w:val="00DC79B9"/>
    <w:rsid w:val="00DC7B9F"/>
    <w:rsid w:val="00DC7BAD"/>
    <w:rsid w:val="00DC7D8C"/>
    <w:rsid w:val="00DC7E49"/>
    <w:rsid w:val="00DD0099"/>
    <w:rsid w:val="00DD0347"/>
    <w:rsid w:val="00DD050D"/>
    <w:rsid w:val="00DD07CD"/>
    <w:rsid w:val="00DD090A"/>
    <w:rsid w:val="00DD09E7"/>
    <w:rsid w:val="00DD0AAE"/>
    <w:rsid w:val="00DD0AB3"/>
    <w:rsid w:val="00DD0AC5"/>
    <w:rsid w:val="00DD0B27"/>
    <w:rsid w:val="00DD0E9E"/>
    <w:rsid w:val="00DD0F42"/>
    <w:rsid w:val="00DD10F1"/>
    <w:rsid w:val="00DD115A"/>
    <w:rsid w:val="00DD1346"/>
    <w:rsid w:val="00DD14D5"/>
    <w:rsid w:val="00DD14F1"/>
    <w:rsid w:val="00DD15BD"/>
    <w:rsid w:val="00DD1651"/>
    <w:rsid w:val="00DD173A"/>
    <w:rsid w:val="00DD1A8D"/>
    <w:rsid w:val="00DD1EFF"/>
    <w:rsid w:val="00DD1FB5"/>
    <w:rsid w:val="00DD220C"/>
    <w:rsid w:val="00DD24C9"/>
    <w:rsid w:val="00DD2536"/>
    <w:rsid w:val="00DD2558"/>
    <w:rsid w:val="00DD27D2"/>
    <w:rsid w:val="00DD28F7"/>
    <w:rsid w:val="00DD29BF"/>
    <w:rsid w:val="00DD29EF"/>
    <w:rsid w:val="00DD2ADA"/>
    <w:rsid w:val="00DD2CDF"/>
    <w:rsid w:val="00DD2D98"/>
    <w:rsid w:val="00DD2DE2"/>
    <w:rsid w:val="00DD2E24"/>
    <w:rsid w:val="00DD2F1E"/>
    <w:rsid w:val="00DD30A9"/>
    <w:rsid w:val="00DD3298"/>
    <w:rsid w:val="00DD32DD"/>
    <w:rsid w:val="00DD3359"/>
    <w:rsid w:val="00DD33BE"/>
    <w:rsid w:val="00DD36AF"/>
    <w:rsid w:val="00DD3765"/>
    <w:rsid w:val="00DD3811"/>
    <w:rsid w:val="00DD3856"/>
    <w:rsid w:val="00DD3A81"/>
    <w:rsid w:val="00DD419E"/>
    <w:rsid w:val="00DD4276"/>
    <w:rsid w:val="00DD45FD"/>
    <w:rsid w:val="00DD4646"/>
    <w:rsid w:val="00DD4810"/>
    <w:rsid w:val="00DD4890"/>
    <w:rsid w:val="00DD4897"/>
    <w:rsid w:val="00DD4B85"/>
    <w:rsid w:val="00DD4CE3"/>
    <w:rsid w:val="00DD4D90"/>
    <w:rsid w:val="00DD4FFC"/>
    <w:rsid w:val="00DD504B"/>
    <w:rsid w:val="00DD5165"/>
    <w:rsid w:val="00DD5297"/>
    <w:rsid w:val="00DD52EC"/>
    <w:rsid w:val="00DD5348"/>
    <w:rsid w:val="00DD5388"/>
    <w:rsid w:val="00DD5420"/>
    <w:rsid w:val="00DD54F9"/>
    <w:rsid w:val="00DD5505"/>
    <w:rsid w:val="00DD55C7"/>
    <w:rsid w:val="00DD5653"/>
    <w:rsid w:val="00DD58F8"/>
    <w:rsid w:val="00DD5966"/>
    <w:rsid w:val="00DD5A2D"/>
    <w:rsid w:val="00DD5AA3"/>
    <w:rsid w:val="00DD5AF4"/>
    <w:rsid w:val="00DD5B95"/>
    <w:rsid w:val="00DD609D"/>
    <w:rsid w:val="00DD620F"/>
    <w:rsid w:val="00DD6301"/>
    <w:rsid w:val="00DD6337"/>
    <w:rsid w:val="00DD650E"/>
    <w:rsid w:val="00DD6657"/>
    <w:rsid w:val="00DD6688"/>
    <w:rsid w:val="00DD66D5"/>
    <w:rsid w:val="00DD66FE"/>
    <w:rsid w:val="00DD67BE"/>
    <w:rsid w:val="00DD68C2"/>
    <w:rsid w:val="00DD6C05"/>
    <w:rsid w:val="00DD6CC8"/>
    <w:rsid w:val="00DD6E93"/>
    <w:rsid w:val="00DD70CC"/>
    <w:rsid w:val="00DD7187"/>
    <w:rsid w:val="00DD72EE"/>
    <w:rsid w:val="00DD737B"/>
    <w:rsid w:val="00DD739F"/>
    <w:rsid w:val="00DD76D4"/>
    <w:rsid w:val="00DD788A"/>
    <w:rsid w:val="00DD7C1C"/>
    <w:rsid w:val="00DD7D5E"/>
    <w:rsid w:val="00DD7E4B"/>
    <w:rsid w:val="00DE019C"/>
    <w:rsid w:val="00DE01D0"/>
    <w:rsid w:val="00DE022E"/>
    <w:rsid w:val="00DE041F"/>
    <w:rsid w:val="00DE0799"/>
    <w:rsid w:val="00DE07AB"/>
    <w:rsid w:val="00DE0FB2"/>
    <w:rsid w:val="00DE0FDE"/>
    <w:rsid w:val="00DE108F"/>
    <w:rsid w:val="00DE10BE"/>
    <w:rsid w:val="00DE1203"/>
    <w:rsid w:val="00DE1240"/>
    <w:rsid w:val="00DE135C"/>
    <w:rsid w:val="00DE1427"/>
    <w:rsid w:val="00DE161C"/>
    <w:rsid w:val="00DE1806"/>
    <w:rsid w:val="00DE18E5"/>
    <w:rsid w:val="00DE1AE8"/>
    <w:rsid w:val="00DE1C55"/>
    <w:rsid w:val="00DE1FC6"/>
    <w:rsid w:val="00DE2024"/>
    <w:rsid w:val="00DE203D"/>
    <w:rsid w:val="00DE2139"/>
    <w:rsid w:val="00DE2151"/>
    <w:rsid w:val="00DE2224"/>
    <w:rsid w:val="00DE2684"/>
    <w:rsid w:val="00DE2939"/>
    <w:rsid w:val="00DE29C3"/>
    <w:rsid w:val="00DE2A25"/>
    <w:rsid w:val="00DE2B7F"/>
    <w:rsid w:val="00DE2BA5"/>
    <w:rsid w:val="00DE2C9E"/>
    <w:rsid w:val="00DE2C9F"/>
    <w:rsid w:val="00DE2E53"/>
    <w:rsid w:val="00DE2E67"/>
    <w:rsid w:val="00DE3146"/>
    <w:rsid w:val="00DE32F6"/>
    <w:rsid w:val="00DE3377"/>
    <w:rsid w:val="00DE3991"/>
    <w:rsid w:val="00DE3B32"/>
    <w:rsid w:val="00DE3E5A"/>
    <w:rsid w:val="00DE3EDA"/>
    <w:rsid w:val="00DE3F8C"/>
    <w:rsid w:val="00DE4035"/>
    <w:rsid w:val="00DE40C2"/>
    <w:rsid w:val="00DE40F7"/>
    <w:rsid w:val="00DE410D"/>
    <w:rsid w:val="00DE4840"/>
    <w:rsid w:val="00DE48CF"/>
    <w:rsid w:val="00DE49DF"/>
    <w:rsid w:val="00DE4A2E"/>
    <w:rsid w:val="00DE4CD2"/>
    <w:rsid w:val="00DE4D4D"/>
    <w:rsid w:val="00DE5118"/>
    <w:rsid w:val="00DE5418"/>
    <w:rsid w:val="00DE54FA"/>
    <w:rsid w:val="00DE55B1"/>
    <w:rsid w:val="00DE55E7"/>
    <w:rsid w:val="00DE56A5"/>
    <w:rsid w:val="00DE6147"/>
    <w:rsid w:val="00DE6235"/>
    <w:rsid w:val="00DE6247"/>
    <w:rsid w:val="00DE64E9"/>
    <w:rsid w:val="00DE653C"/>
    <w:rsid w:val="00DE6AEB"/>
    <w:rsid w:val="00DE6AF4"/>
    <w:rsid w:val="00DE6D1C"/>
    <w:rsid w:val="00DE6FA3"/>
    <w:rsid w:val="00DE72E7"/>
    <w:rsid w:val="00DE7681"/>
    <w:rsid w:val="00DE7715"/>
    <w:rsid w:val="00DE78E2"/>
    <w:rsid w:val="00DE7A50"/>
    <w:rsid w:val="00DE7C77"/>
    <w:rsid w:val="00DE7C78"/>
    <w:rsid w:val="00DE7CE0"/>
    <w:rsid w:val="00DE7D99"/>
    <w:rsid w:val="00DE7F27"/>
    <w:rsid w:val="00DF018C"/>
    <w:rsid w:val="00DF0301"/>
    <w:rsid w:val="00DF082B"/>
    <w:rsid w:val="00DF08AF"/>
    <w:rsid w:val="00DF0943"/>
    <w:rsid w:val="00DF0F9B"/>
    <w:rsid w:val="00DF10A3"/>
    <w:rsid w:val="00DF10AE"/>
    <w:rsid w:val="00DF1227"/>
    <w:rsid w:val="00DF12AC"/>
    <w:rsid w:val="00DF1323"/>
    <w:rsid w:val="00DF13ED"/>
    <w:rsid w:val="00DF1538"/>
    <w:rsid w:val="00DF156D"/>
    <w:rsid w:val="00DF15AB"/>
    <w:rsid w:val="00DF1658"/>
    <w:rsid w:val="00DF16FE"/>
    <w:rsid w:val="00DF1815"/>
    <w:rsid w:val="00DF1B0A"/>
    <w:rsid w:val="00DF1B2E"/>
    <w:rsid w:val="00DF1EBD"/>
    <w:rsid w:val="00DF201A"/>
    <w:rsid w:val="00DF2188"/>
    <w:rsid w:val="00DF2282"/>
    <w:rsid w:val="00DF22CF"/>
    <w:rsid w:val="00DF23A6"/>
    <w:rsid w:val="00DF2576"/>
    <w:rsid w:val="00DF26AE"/>
    <w:rsid w:val="00DF2701"/>
    <w:rsid w:val="00DF279E"/>
    <w:rsid w:val="00DF27F6"/>
    <w:rsid w:val="00DF2A1A"/>
    <w:rsid w:val="00DF2AAB"/>
    <w:rsid w:val="00DF2AE4"/>
    <w:rsid w:val="00DF2F28"/>
    <w:rsid w:val="00DF2F54"/>
    <w:rsid w:val="00DF3187"/>
    <w:rsid w:val="00DF31B7"/>
    <w:rsid w:val="00DF34A9"/>
    <w:rsid w:val="00DF390A"/>
    <w:rsid w:val="00DF39C3"/>
    <w:rsid w:val="00DF3BAB"/>
    <w:rsid w:val="00DF3DC0"/>
    <w:rsid w:val="00DF3EC1"/>
    <w:rsid w:val="00DF3FDE"/>
    <w:rsid w:val="00DF4090"/>
    <w:rsid w:val="00DF422D"/>
    <w:rsid w:val="00DF4437"/>
    <w:rsid w:val="00DF44AA"/>
    <w:rsid w:val="00DF45C2"/>
    <w:rsid w:val="00DF48C7"/>
    <w:rsid w:val="00DF49B0"/>
    <w:rsid w:val="00DF49D0"/>
    <w:rsid w:val="00DF4C21"/>
    <w:rsid w:val="00DF4CEF"/>
    <w:rsid w:val="00DF5026"/>
    <w:rsid w:val="00DF5029"/>
    <w:rsid w:val="00DF50E8"/>
    <w:rsid w:val="00DF52E7"/>
    <w:rsid w:val="00DF5393"/>
    <w:rsid w:val="00DF540A"/>
    <w:rsid w:val="00DF5466"/>
    <w:rsid w:val="00DF54D1"/>
    <w:rsid w:val="00DF54EF"/>
    <w:rsid w:val="00DF5546"/>
    <w:rsid w:val="00DF5584"/>
    <w:rsid w:val="00DF559B"/>
    <w:rsid w:val="00DF55D9"/>
    <w:rsid w:val="00DF55E5"/>
    <w:rsid w:val="00DF5612"/>
    <w:rsid w:val="00DF564F"/>
    <w:rsid w:val="00DF580A"/>
    <w:rsid w:val="00DF58B4"/>
    <w:rsid w:val="00DF5A40"/>
    <w:rsid w:val="00DF5C7C"/>
    <w:rsid w:val="00DF5C83"/>
    <w:rsid w:val="00DF5D07"/>
    <w:rsid w:val="00DF5E32"/>
    <w:rsid w:val="00DF6037"/>
    <w:rsid w:val="00DF6124"/>
    <w:rsid w:val="00DF619C"/>
    <w:rsid w:val="00DF63FE"/>
    <w:rsid w:val="00DF6425"/>
    <w:rsid w:val="00DF6A22"/>
    <w:rsid w:val="00DF6C0B"/>
    <w:rsid w:val="00DF6C9E"/>
    <w:rsid w:val="00DF6D17"/>
    <w:rsid w:val="00DF6D53"/>
    <w:rsid w:val="00DF6E93"/>
    <w:rsid w:val="00DF71B8"/>
    <w:rsid w:val="00DF7237"/>
    <w:rsid w:val="00DF72A6"/>
    <w:rsid w:val="00DF7450"/>
    <w:rsid w:val="00DF74CA"/>
    <w:rsid w:val="00DF7664"/>
    <w:rsid w:val="00DF7B4C"/>
    <w:rsid w:val="00DF7B52"/>
    <w:rsid w:val="00E000A7"/>
    <w:rsid w:val="00E000F1"/>
    <w:rsid w:val="00E00115"/>
    <w:rsid w:val="00E00201"/>
    <w:rsid w:val="00E0024D"/>
    <w:rsid w:val="00E002C2"/>
    <w:rsid w:val="00E002E6"/>
    <w:rsid w:val="00E0041E"/>
    <w:rsid w:val="00E00643"/>
    <w:rsid w:val="00E00753"/>
    <w:rsid w:val="00E00A5B"/>
    <w:rsid w:val="00E00BF4"/>
    <w:rsid w:val="00E00C7B"/>
    <w:rsid w:val="00E00E17"/>
    <w:rsid w:val="00E00F11"/>
    <w:rsid w:val="00E00FA1"/>
    <w:rsid w:val="00E00FE3"/>
    <w:rsid w:val="00E0118D"/>
    <w:rsid w:val="00E0142F"/>
    <w:rsid w:val="00E0151C"/>
    <w:rsid w:val="00E015EF"/>
    <w:rsid w:val="00E0161F"/>
    <w:rsid w:val="00E018D3"/>
    <w:rsid w:val="00E0197C"/>
    <w:rsid w:val="00E01F94"/>
    <w:rsid w:val="00E01FB6"/>
    <w:rsid w:val="00E0224E"/>
    <w:rsid w:val="00E022AE"/>
    <w:rsid w:val="00E022DC"/>
    <w:rsid w:val="00E02386"/>
    <w:rsid w:val="00E0264A"/>
    <w:rsid w:val="00E0299A"/>
    <w:rsid w:val="00E029FF"/>
    <w:rsid w:val="00E02A34"/>
    <w:rsid w:val="00E02B3C"/>
    <w:rsid w:val="00E02CA0"/>
    <w:rsid w:val="00E03033"/>
    <w:rsid w:val="00E03369"/>
    <w:rsid w:val="00E03457"/>
    <w:rsid w:val="00E0359E"/>
    <w:rsid w:val="00E037D4"/>
    <w:rsid w:val="00E03807"/>
    <w:rsid w:val="00E039CC"/>
    <w:rsid w:val="00E03A25"/>
    <w:rsid w:val="00E03D61"/>
    <w:rsid w:val="00E03FB0"/>
    <w:rsid w:val="00E03FF5"/>
    <w:rsid w:val="00E04144"/>
    <w:rsid w:val="00E04379"/>
    <w:rsid w:val="00E045B4"/>
    <w:rsid w:val="00E04658"/>
    <w:rsid w:val="00E04957"/>
    <w:rsid w:val="00E049B1"/>
    <w:rsid w:val="00E04E7C"/>
    <w:rsid w:val="00E04F16"/>
    <w:rsid w:val="00E04F63"/>
    <w:rsid w:val="00E050DA"/>
    <w:rsid w:val="00E051DC"/>
    <w:rsid w:val="00E05253"/>
    <w:rsid w:val="00E0544B"/>
    <w:rsid w:val="00E05966"/>
    <w:rsid w:val="00E05D30"/>
    <w:rsid w:val="00E05D93"/>
    <w:rsid w:val="00E05EA9"/>
    <w:rsid w:val="00E05EE6"/>
    <w:rsid w:val="00E05F50"/>
    <w:rsid w:val="00E06394"/>
    <w:rsid w:val="00E063E0"/>
    <w:rsid w:val="00E06406"/>
    <w:rsid w:val="00E06594"/>
    <w:rsid w:val="00E0684F"/>
    <w:rsid w:val="00E06871"/>
    <w:rsid w:val="00E06996"/>
    <w:rsid w:val="00E06AD8"/>
    <w:rsid w:val="00E06B13"/>
    <w:rsid w:val="00E06E12"/>
    <w:rsid w:val="00E07048"/>
    <w:rsid w:val="00E07102"/>
    <w:rsid w:val="00E07250"/>
    <w:rsid w:val="00E07299"/>
    <w:rsid w:val="00E073F6"/>
    <w:rsid w:val="00E0744F"/>
    <w:rsid w:val="00E0751E"/>
    <w:rsid w:val="00E07537"/>
    <w:rsid w:val="00E0770C"/>
    <w:rsid w:val="00E079FE"/>
    <w:rsid w:val="00E07A1D"/>
    <w:rsid w:val="00E07A46"/>
    <w:rsid w:val="00E07B20"/>
    <w:rsid w:val="00E07B56"/>
    <w:rsid w:val="00E07BA3"/>
    <w:rsid w:val="00E07DB0"/>
    <w:rsid w:val="00E07E30"/>
    <w:rsid w:val="00E07E83"/>
    <w:rsid w:val="00E100AB"/>
    <w:rsid w:val="00E1014C"/>
    <w:rsid w:val="00E10443"/>
    <w:rsid w:val="00E104D5"/>
    <w:rsid w:val="00E1051F"/>
    <w:rsid w:val="00E1091B"/>
    <w:rsid w:val="00E10AAA"/>
    <w:rsid w:val="00E10E12"/>
    <w:rsid w:val="00E10EEB"/>
    <w:rsid w:val="00E11099"/>
    <w:rsid w:val="00E112C4"/>
    <w:rsid w:val="00E116BE"/>
    <w:rsid w:val="00E117DC"/>
    <w:rsid w:val="00E118DE"/>
    <w:rsid w:val="00E1196E"/>
    <w:rsid w:val="00E119F1"/>
    <w:rsid w:val="00E119FD"/>
    <w:rsid w:val="00E11D30"/>
    <w:rsid w:val="00E11DBA"/>
    <w:rsid w:val="00E12009"/>
    <w:rsid w:val="00E1200F"/>
    <w:rsid w:val="00E1215F"/>
    <w:rsid w:val="00E12446"/>
    <w:rsid w:val="00E126E2"/>
    <w:rsid w:val="00E1294D"/>
    <w:rsid w:val="00E12A07"/>
    <w:rsid w:val="00E12D57"/>
    <w:rsid w:val="00E12DCC"/>
    <w:rsid w:val="00E12E85"/>
    <w:rsid w:val="00E12F16"/>
    <w:rsid w:val="00E12F2D"/>
    <w:rsid w:val="00E134B5"/>
    <w:rsid w:val="00E135A5"/>
    <w:rsid w:val="00E136A7"/>
    <w:rsid w:val="00E136B8"/>
    <w:rsid w:val="00E138F3"/>
    <w:rsid w:val="00E13C2B"/>
    <w:rsid w:val="00E13C6D"/>
    <w:rsid w:val="00E13D8C"/>
    <w:rsid w:val="00E13E4F"/>
    <w:rsid w:val="00E13E83"/>
    <w:rsid w:val="00E13F69"/>
    <w:rsid w:val="00E13F93"/>
    <w:rsid w:val="00E1406D"/>
    <w:rsid w:val="00E140CA"/>
    <w:rsid w:val="00E1422C"/>
    <w:rsid w:val="00E14322"/>
    <w:rsid w:val="00E144A7"/>
    <w:rsid w:val="00E14533"/>
    <w:rsid w:val="00E14557"/>
    <w:rsid w:val="00E146BA"/>
    <w:rsid w:val="00E14771"/>
    <w:rsid w:val="00E147F9"/>
    <w:rsid w:val="00E147FF"/>
    <w:rsid w:val="00E1484A"/>
    <w:rsid w:val="00E1490E"/>
    <w:rsid w:val="00E14946"/>
    <w:rsid w:val="00E149D6"/>
    <w:rsid w:val="00E14C1E"/>
    <w:rsid w:val="00E14C85"/>
    <w:rsid w:val="00E152D6"/>
    <w:rsid w:val="00E153D0"/>
    <w:rsid w:val="00E154DF"/>
    <w:rsid w:val="00E15561"/>
    <w:rsid w:val="00E157E1"/>
    <w:rsid w:val="00E1582B"/>
    <w:rsid w:val="00E158E9"/>
    <w:rsid w:val="00E15A4B"/>
    <w:rsid w:val="00E15A71"/>
    <w:rsid w:val="00E15BE8"/>
    <w:rsid w:val="00E15D1A"/>
    <w:rsid w:val="00E1613D"/>
    <w:rsid w:val="00E161BD"/>
    <w:rsid w:val="00E162AD"/>
    <w:rsid w:val="00E1647C"/>
    <w:rsid w:val="00E16638"/>
    <w:rsid w:val="00E168D9"/>
    <w:rsid w:val="00E16999"/>
    <w:rsid w:val="00E169EE"/>
    <w:rsid w:val="00E16C09"/>
    <w:rsid w:val="00E16CB0"/>
    <w:rsid w:val="00E16D1B"/>
    <w:rsid w:val="00E16D47"/>
    <w:rsid w:val="00E16EC1"/>
    <w:rsid w:val="00E16F8F"/>
    <w:rsid w:val="00E171AF"/>
    <w:rsid w:val="00E171C5"/>
    <w:rsid w:val="00E17421"/>
    <w:rsid w:val="00E1768D"/>
    <w:rsid w:val="00E177C1"/>
    <w:rsid w:val="00E178A4"/>
    <w:rsid w:val="00E17969"/>
    <w:rsid w:val="00E17B97"/>
    <w:rsid w:val="00E17C8B"/>
    <w:rsid w:val="00E20071"/>
    <w:rsid w:val="00E20084"/>
    <w:rsid w:val="00E202AF"/>
    <w:rsid w:val="00E20574"/>
    <w:rsid w:val="00E206DD"/>
    <w:rsid w:val="00E20708"/>
    <w:rsid w:val="00E20885"/>
    <w:rsid w:val="00E208A7"/>
    <w:rsid w:val="00E208D7"/>
    <w:rsid w:val="00E20992"/>
    <w:rsid w:val="00E209B3"/>
    <w:rsid w:val="00E20BD7"/>
    <w:rsid w:val="00E20E4C"/>
    <w:rsid w:val="00E20E6E"/>
    <w:rsid w:val="00E20EB2"/>
    <w:rsid w:val="00E20EFA"/>
    <w:rsid w:val="00E210AE"/>
    <w:rsid w:val="00E21287"/>
    <w:rsid w:val="00E213B1"/>
    <w:rsid w:val="00E213BB"/>
    <w:rsid w:val="00E21448"/>
    <w:rsid w:val="00E218E0"/>
    <w:rsid w:val="00E21E40"/>
    <w:rsid w:val="00E2209E"/>
    <w:rsid w:val="00E220B7"/>
    <w:rsid w:val="00E221C2"/>
    <w:rsid w:val="00E22306"/>
    <w:rsid w:val="00E223C5"/>
    <w:rsid w:val="00E22583"/>
    <w:rsid w:val="00E2259F"/>
    <w:rsid w:val="00E22716"/>
    <w:rsid w:val="00E2283A"/>
    <w:rsid w:val="00E22946"/>
    <w:rsid w:val="00E22D0E"/>
    <w:rsid w:val="00E22E66"/>
    <w:rsid w:val="00E22FF6"/>
    <w:rsid w:val="00E230E2"/>
    <w:rsid w:val="00E23312"/>
    <w:rsid w:val="00E23368"/>
    <w:rsid w:val="00E2337F"/>
    <w:rsid w:val="00E234A5"/>
    <w:rsid w:val="00E237D2"/>
    <w:rsid w:val="00E23871"/>
    <w:rsid w:val="00E239FA"/>
    <w:rsid w:val="00E23AF8"/>
    <w:rsid w:val="00E23C38"/>
    <w:rsid w:val="00E23C3D"/>
    <w:rsid w:val="00E23CC7"/>
    <w:rsid w:val="00E23FE8"/>
    <w:rsid w:val="00E2410F"/>
    <w:rsid w:val="00E241C7"/>
    <w:rsid w:val="00E242F4"/>
    <w:rsid w:val="00E2431E"/>
    <w:rsid w:val="00E245E5"/>
    <w:rsid w:val="00E24658"/>
    <w:rsid w:val="00E249A3"/>
    <w:rsid w:val="00E24A68"/>
    <w:rsid w:val="00E24AB4"/>
    <w:rsid w:val="00E24AB6"/>
    <w:rsid w:val="00E24B24"/>
    <w:rsid w:val="00E24BE5"/>
    <w:rsid w:val="00E24C63"/>
    <w:rsid w:val="00E24DD0"/>
    <w:rsid w:val="00E24E56"/>
    <w:rsid w:val="00E25446"/>
    <w:rsid w:val="00E255D1"/>
    <w:rsid w:val="00E25741"/>
    <w:rsid w:val="00E25797"/>
    <w:rsid w:val="00E258F7"/>
    <w:rsid w:val="00E25BDD"/>
    <w:rsid w:val="00E25C1E"/>
    <w:rsid w:val="00E25C28"/>
    <w:rsid w:val="00E25C66"/>
    <w:rsid w:val="00E25DA5"/>
    <w:rsid w:val="00E26101"/>
    <w:rsid w:val="00E2647A"/>
    <w:rsid w:val="00E2659C"/>
    <w:rsid w:val="00E26628"/>
    <w:rsid w:val="00E266F7"/>
    <w:rsid w:val="00E267AB"/>
    <w:rsid w:val="00E2695A"/>
    <w:rsid w:val="00E26AC0"/>
    <w:rsid w:val="00E26B0F"/>
    <w:rsid w:val="00E26B38"/>
    <w:rsid w:val="00E26BD6"/>
    <w:rsid w:val="00E26C2F"/>
    <w:rsid w:val="00E26EE2"/>
    <w:rsid w:val="00E26F37"/>
    <w:rsid w:val="00E27119"/>
    <w:rsid w:val="00E271E7"/>
    <w:rsid w:val="00E272C8"/>
    <w:rsid w:val="00E27313"/>
    <w:rsid w:val="00E27573"/>
    <w:rsid w:val="00E277E7"/>
    <w:rsid w:val="00E27804"/>
    <w:rsid w:val="00E27807"/>
    <w:rsid w:val="00E27A38"/>
    <w:rsid w:val="00E27B6D"/>
    <w:rsid w:val="00E27B6E"/>
    <w:rsid w:val="00E27EA5"/>
    <w:rsid w:val="00E3013C"/>
    <w:rsid w:val="00E3040D"/>
    <w:rsid w:val="00E304E4"/>
    <w:rsid w:val="00E30584"/>
    <w:rsid w:val="00E305A2"/>
    <w:rsid w:val="00E30AC1"/>
    <w:rsid w:val="00E30B6E"/>
    <w:rsid w:val="00E30DAF"/>
    <w:rsid w:val="00E30FC2"/>
    <w:rsid w:val="00E310AA"/>
    <w:rsid w:val="00E310DD"/>
    <w:rsid w:val="00E3145D"/>
    <w:rsid w:val="00E316B7"/>
    <w:rsid w:val="00E317C7"/>
    <w:rsid w:val="00E31822"/>
    <w:rsid w:val="00E319DC"/>
    <w:rsid w:val="00E31CA1"/>
    <w:rsid w:val="00E31CD9"/>
    <w:rsid w:val="00E31FB3"/>
    <w:rsid w:val="00E31FFF"/>
    <w:rsid w:val="00E3209F"/>
    <w:rsid w:val="00E321E5"/>
    <w:rsid w:val="00E3222A"/>
    <w:rsid w:val="00E3225D"/>
    <w:rsid w:val="00E323D6"/>
    <w:rsid w:val="00E324D9"/>
    <w:rsid w:val="00E325BB"/>
    <w:rsid w:val="00E325FE"/>
    <w:rsid w:val="00E32716"/>
    <w:rsid w:val="00E32873"/>
    <w:rsid w:val="00E328C4"/>
    <w:rsid w:val="00E32967"/>
    <w:rsid w:val="00E32CBB"/>
    <w:rsid w:val="00E32E42"/>
    <w:rsid w:val="00E32EC1"/>
    <w:rsid w:val="00E32EC6"/>
    <w:rsid w:val="00E32F40"/>
    <w:rsid w:val="00E32FC0"/>
    <w:rsid w:val="00E33025"/>
    <w:rsid w:val="00E33296"/>
    <w:rsid w:val="00E332BC"/>
    <w:rsid w:val="00E33423"/>
    <w:rsid w:val="00E33437"/>
    <w:rsid w:val="00E33556"/>
    <w:rsid w:val="00E338A6"/>
    <w:rsid w:val="00E33D86"/>
    <w:rsid w:val="00E33E1D"/>
    <w:rsid w:val="00E33E60"/>
    <w:rsid w:val="00E33F0A"/>
    <w:rsid w:val="00E341B6"/>
    <w:rsid w:val="00E3438E"/>
    <w:rsid w:val="00E34628"/>
    <w:rsid w:val="00E34B2D"/>
    <w:rsid w:val="00E34B71"/>
    <w:rsid w:val="00E34C6B"/>
    <w:rsid w:val="00E34E3D"/>
    <w:rsid w:val="00E34EC0"/>
    <w:rsid w:val="00E34EE7"/>
    <w:rsid w:val="00E34F20"/>
    <w:rsid w:val="00E34FEB"/>
    <w:rsid w:val="00E351D5"/>
    <w:rsid w:val="00E3523B"/>
    <w:rsid w:val="00E35292"/>
    <w:rsid w:val="00E353DE"/>
    <w:rsid w:val="00E355CB"/>
    <w:rsid w:val="00E35670"/>
    <w:rsid w:val="00E356D3"/>
    <w:rsid w:val="00E357AD"/>
    <w:rsid w:val="00E35CE9"/>
    <w:rsid w:val="00E36015"/>
    <w:rsid w:val="00E3608A"/>
    <w:rsid w:val="00E3619D"/>
    <w:rsid w:val="00E363F5"/>
    <w:rsid w:val="00E366F8"/>
    <w:rsid w:val="00E3683F"/>
    <w:rsid w:val="00E3692D"/>
    <w:rsid w:val="00E36ACA"/>
    <w:rsid w:val="00E36BD1"/>
    <w:rsid w:val="00E36C33"/>
    <w:rsid w:val="00E36CA7"/>
    <w:rsid w:val="00E36EFE"/>
    <w:rsid w:val="00E370F4"/>
    <w:rsid w:val="00E37212"/>
    <w:rsid w:val="00E37249"/>
    <w:rsid w:val="00E37749"/>
    <w:rsid w:val="00E377E0"/>
    <w:rsid w:val="00E37833"/>
    <w:rsid w:val="00E37890"/>
    <w:rsid w:val="00E378CF"/>
    <w:rsid w:val="00E37B74"/>
    <w:rsid w:val="00E37C7A"/>
    <w:rsid w:val="00E37C81"/>
    <w:rsid w:val="00E37DEB"/>
    <w:rsid w:val="00E37E6B"/>
    <w:rsid w:val="00E37FE9"/>
    <w:rsid w:val="00E40017"/>
    <w:rsid w:val="00E4001E"/>
    <w:rsid w:val="00E403BD"/>
    <w:rsid w:val="00E40432"/>
    <w:rsid w:val="00E406AC"/>
    <w:rsid w:val="00E40B7B"/>
    <w:rsid w:val="00E40BED"/>
    <w:rsid w:val="00E40C9A"/>
    <w:rsid w:val="00E40CC7"/>
    <w:rsid w:val="00E40CDC"/>
    <w:rsid w:val="00E40D10"/>
    <w:rsid w:val="00E40E24"/>
    <w:rsid w:val="00E40EC1"/>
    <w:rsid w:val="00E41043"/>
    <w:rsid w:val="00E411E9"/>
    <w:rsid w:val="00E41342"/>
    <w:rsid w:val="00E4146B"/>
    <w:rsid w:val="00E4187E"/>
    <w:rsid w:val="00E4187F"/>
    <w:rsid w:val="00E4193C"/>
    <w:rsid w:val="00E41978"/>
    <w:rsid w:val="00E41BA8"/>
    <w:rsid w:val="00E41D31"/>
    <w:rsid w:val="00E41E5B"/>
    <w:rsid w:val="00E42093"/>
    <w:rsid w:val="00E420EF"/>
    <w:rsid w:val="00E424DA"/>
    <w:rsid w:val="00E424E5"/>
    <w:rsid w:val="00E4257D"/>
    <w:rsid w:val="00E4275F"/>
    <w:rsid w:val="00E42D3D"/>
    <w:rsid w:val="00E42DD2"/>
    <w:rsid w:val="00E42FB6"/>
    <w:rsid w:val="00E42FD2"/>
    <w:rsid w:val="00E43023"/>
    <w:rsid w:val="00E43027"/>
    <w:rsid w:val="00E43192"/>
    <w:rsid w:val="00E43370"/>
    <w:rsid w:val="00E434D0"/>
    <w:rsid w:val="00E43597"/>
    <w:rsid w:val="00E43660"/>
    <w:rsid w:val="00E43661"/>
    <w:rsid w:val="00E436B7"/>
    <w:rsid w:val="00E43855"/>
    <w:rsid w:val="00E439C3"/>
    <w:rsid w:val="00E439E1"/>
    <w:rsid w:val="00E43A87"/>
    <w:rsid w:val="00E43B5D"/>
    <w:rsid w:val="00E43C0C"/>
    <w:rsid w:val="00E43FC2"/>
    <w:rsid w:val="00E4405D"/>
    <w:rsid w:val="00E4413D"/>
    <w:rsid w:val="00E4415A"/>
    <w:rsid w:val="00E441C1"/>
    <w:rsid w:val="00E4431F"/>
    <w:rsid w:val="00E4439E"/>
    <w:rsid w:val="00E4442E"/>
    <w:rsid w:val="00E444CF"/>
    <w:rsid w:val="00E445BD"/>
    <w:rsid w:val="00E44886"/>
    <w:rsid w:val="00E449AD"/>
    <w:rsid w:val="00E449E2"/>
    <w:rsid w:val="00E44AB2"/>
    <w:rsid w:val="00E44B85"/>
    <w:rsid w:val="00E44B95"/>
    <w:rsid w:val="00E44BF6"/>
    <w:rsid w:val="00E44C6E"/>
    <w:rsid w:val="00E44F80"/>
    <w:rsid w:val="00E4503E"/>
    <w:rsid w:val="00E4531E"/>
    <w:rsid w:val="00E455B6"/>
    <w:rsid w:val="00E458D9"/>
    <w:rsid w:val="00E45B53"/>
    <w:rsid w:val="00E45E00"/>
    <w:rsid w:val="00E45E0C"/>
    <w:rsid w:val="00E45F14"/>
    <w:rsid w:val="00E45F6E"/>
    <w:rsid w:val="00E46276"/>
    <w:rsid w:val="00E4631D"/>
    <w:rsid w:val="00E4642F"/>
    <w:rsid w:val="00E465D9"/>
    <w:rsid w:val="00E469F9"/>
    <w:rsid w:val="00E46D6D"/>
    <w:rsid w:val="00E46F8B"/>
    <w:rsid w:val="00E46FA4"/>
    <w:rsid w:val="00E47257"/>
    <w:rsid w:val="00E47516"/>
    <w:rsid w:val="00E475CA"/>
    <w:rsid w:val="00E476B1"/>
    <w:rsid w:val="00E47996"/>
    <w:rsid w:val="00E47D04"/>
    <w:rsid w:val="00E47D96"/>
    <w:rsid w:val="00E50005"/>
    <w:rsid w:val="00E50071"/>
    <w:rsid w:val="00E500B3"/>
    <w:rsid w:val="00E50108"/>
    <w:rsid w:val="00E5048B"/>
    <w:rsid w:val="00E504C9"/>
    <w:rsid w:val="00E5079B"/>
    <w:rsid w:val="00E507AC"/>
    <w:rsid w:val="00E50A76"/>
    <w:rsid w:val="00E50C6C"/>
    <w:rsid w:val="00E50E8E"/>
    <w:rsid w:val="00E50EA3"/>
    <w:rsid w:val="00E50FAB"/>
    <w:rsid w:val="00E51059"/>
    <w:rsid w:val="00E510D2"/>
    <w:rsid w:val="00E5111C"/>
    <w:rsid w:val="00E51338"/>
    <w:rsid w:val="00E513B9"/>
    <w:rsid w:val="00E513F2"/>
    <w:rsid w:val="00E514FE"/>
    <w:rsid w:val="00E5175C"/>
    <w:rsid w:val="00E51B28"/>
    <w:rsid w:val="00E52025"/>
    <w:rsid w:val="00E522FF"/>
    <w:rsid w:val="00E523DA"/>
    <w:rsid w:val="00E524B9"/>
    <w:rsid w:val="00E527FA"/>
    <w:rsid w:val="00E52834"/>
    <w:rsid w:val="00E52918"/>
    <w:rsid w:val="00E529D3"/>
    <w:rsid w:val="00E529F8"/>
    <w:rsid w:val="00E52A80"/>
    <w:rsid w:val="00E52D6D"/>
    <w:rsid w:val="00E533E6"/>
    <w:rsid w:val="00E5371D"/>
    <w:rsid w:val="00E53855"/>
    <w:rsid w:val="00E53A7B"/>
    <w:rsid w:val="00E53BE7"/>
    <w:rsid w:val="00E53CD9"/>
    <w:rsid w:val="00E53F9B"/>
    <w:rsid w:val="00E547AD"/>
    <w:rsid w:val="00E54BA7"/>
    <w:rsid w:val="00E54CD4"/>
    <w:rsid w:val="00E54D36"/>
    <w:rsid w:val="00E54ED4"/>
    <w:rsid w:val="00E55013"/>
    <w:rsid w:val="00E554D1"/>
    <w:rsid w:val="00E55605"/>
    <w:rsid w:val="00E55612"/>
    <w:rsid w:val="00E5572A"/>
    <w:rsid w:val="00E55A43"/>
    <w:rsid w:val="00E55B8B"/>
    <w:rsid w:val="00E5606A"/>
    <w:rsid w:val="00E5636D"/>
    <w:rsid w:val="00E56576"/>
    <w:rsid w:val="00E566A3"/>
    <w:rsid w:val="00E566DE"/>
    <w:rsid w:val="00E566F9"/>
    <w:rsid w:val="00E567C3"/>
    <w:rsid w:val="00E56840"/>
    <w:rsid w:val="00E569E1"/>
    <w:rsid w:val="00E56B49"/>
    <w:rsid w:val="00E56D68"/>
    <w:rsid w:val="00E56FC1"/>
    <w:rsid w:val="00E570FE"/>
    <w:rsid w:val="00E5714E"/>
    <w:rsid w:val="00E57395"/>
    <w:rsid w:val="00E5762E"/>
    <w:rsid w:val="00E576D0"/>
    <w:rsid w:val="00E57988"/>
    <w:rsid w:val="00E57BBD"/>
    <w:rsid w:val="00E57C7D"/>
    <w:rsid w:val="00E57C86"/>
    <w:rsid w:val="00E57D36"/>
    <w:rsid w:val="00E57DC1"/>
    <w:rsid w:val="00E6007A"/>
    <w:rsid w:val="00E60135"/>
    <w:rsid w:val="00E601FB"/>
    <w:rsid w:val="00E6084D"/>
    <w:rsid w:val="00E608A0"/>
    <w:rsid w:val="00E60BEE"/>
    <w:rsid w:val="00E60CC8"/>
    <w:rsid w:val="00E60D91"/>
    <w:rsid w:val="00E6108C"/>
    <w:rsid w:val="00E61169"/>
    <w:rsid w:val="00E611C1"/>
    <w:rsid w:val="00E612B5"/>
    <w:rsid w:val="00E6157F"/>
    <w:rsid w:val="00E616CB"/>
    <w:rsid w:val="00E61711"/>
    <w:rsid w:val="00E619A5"/>
    <w:rsid w:val="00E619CC"/>
    <w:rsid w:val="00E61A9E"/>
    <w:rsid w:val="00E61BDA"/>
    <w:rsid w:val="00E61CF6"/>
    <w:rsid w:val="00E61EB4"/>
    <w:rsid w:val="00E62181"/>
    <w:rsid w:val="00E6222E"/>
    <w:rsid w:val="00E62238"/>
    <w:rsid w:val="00E623C2"/>
    <w:rsid w:val="00E624FD"/>
    <w:rsid w:val="00E625E4"/>
    <w:rsid w:val="00E627DB"/>
    <w:rsid w:val="00E62824"/>
    <w:rsid w:val="00E62A93"/>
    <w:rsid w:val="00E62B3F"/>
    <w:rsid w:val="00E62C2B"/>
    <w:rsid w:val="00E62D6F"/>
    <w:rsid w:val="00E62E6E"/>
    <w:rsid w:val="00E62F15"/>
    <w:rsid w:val="00E63106"/>
    <w:rsid w:val="00E63227"/>
    <w:rsid w:val="00E63519"/>
    <w:rsid w:val="00E638B0"/>
    <w:rsid w:val="00E638C7"/>
    <w:rsid w:val="00E63ABB"/>
    <w:rsid w:val="00E63AEF"/>
    <w:rsid w:val="00E63C84"/>
    <w:rsid w:val="00E63C86"/>
    <w:rsid w:val="00E63EDD"/>
    <w:rsid w:val="00E645D7"/>
    <w:rsid w:val="00E64605"/>
    <w:rsid w:val="00E64654"/>
    <w:rsid w:val="00E64830"/>
    <w:rsid w:val="00E64B1B"/>
    <w:rsid w:val="00E64FAD"/>
    <w:rsid w:val="00E65045"/>
    <w:rsid w:val="00E650FC"/>
    <w:rsid w:val="00E6514A"/>
    <w:rsid w:val="00E652D0"/>
    <w:rsid w:val="00E65375"/>
    <w:rsid w:val="00E65659"/>
    <w:rsid w:val="00E6569E"/>
    <w:rsid w:val="00E656A0"/>
    <w:rsid w:val="00E6581C"/>
    <w:rsid w:val="00E65A38"/>
    <w:rsid w:val="00E65CF7"/>
    <w:rsid w:val="00E6606A"/>
    <w:rsid w:val="00E66379"/>
    <w:rsid w:val="00E665AF"/>
    <w:rsid w:val="00E6678A"/>
    <w:rsid w:val="00E667F8"/>
    <w:rsid w:val="00E669EF"/>
    <w:rsid w:val="00E66C90"/>
    <w:rsid w:val="00E66DB5"/>
    <w:rsid w:val="00E66F19"/>
    <w:rsid w:val="00E66FF9"/>
    <w:rsid w:val="00E672B6"/>
    <w:rsid w:val="00E67309"/>
    <w:rsid w:val="00E673D1"/>
    <w:rsid w:val="00E67A16"/>
    <w:rsid w:val="00E67CEF"/>
    <w:rsid w:val="00E67E39"/>
    <w:rsid w:val="00E67FE4"/>
    <w:rsid w:val="00E70021"/>
    <w:rsid w:val="00E70087"/>
    <w:rsid w:val="00E702B3"/>
    <w:rsid w:val="00E70560"/>
    <w:rsid w:val="00E70728"/>
    <w:rsid w:val="00E707EA"/>
    <w:rsid w:val="00E70A02"/>
    <w:rsid w:val="00E70B33"/>
    <w:rsid w:val="00E70FF2"/>
    <w:rsid w:val="00E711BE"/>
    <w:rsid w:val="00E711EC"/>
    <w:rsid w:val="00E712F7"/>
    <w:rsid w:val="00E71450"/>
    <w:rsid w:val="00E714D8"/>
    <w:rsid w:val="00E71540"/>
    <w:rsid w:val="00E7158C"/>
    <w:rsid w:val="00E71888"/>
    <w:rsid w:val="00E71993"/>
    <w:rsid w:val="00E71D25"/>
    <w:rsid w:val="00E71F41"/>
    <w:rsid w:val="00E71FF8"/>
    <w:rsid w:val="00E721B3"/>
    <w:rsid w:val="00E725A4"/>
    <w:rsid w:val="00E72696"/>
    <w:rsid w:val="00E726D4"/>
    <w:rsid w:val="00E72946"/>
    <w:rsid w:val="00E72990"/>
    <w:rsid w:val="00E72A18"/>
    <w:rsid w:val="00E72CB2"/>
    <w:rsid w:val="00E72E27"/>
    <w:rsid w:val="00E72E54"/>
    <w:rsid w:val="00E7303F"/>
    <w:rsid w:val="00E7327E"/>
    <w:rsid w:val="00E732B3"/>
    <w:rsid w:val="00E737A9"/>
    <w:rsid w:val="00E73B82"/>
    <w:rsid w:val="00E73DDB"/>
    <w:rsid w:val="00E73F68"/>
    <w:rsid w:val="00E741C6"/>
    <w:rsid w:val="00E742C5"/>
    <w:rsid w:val="00E74602"/>
    <w:rsid w:val="00E74624"/>
    <w:rsid w:val="00E74853"/>
    <w:rsid w:val="00E7486C"/>
    <w:rsid w:val="00E7486D"/>
    <w:rsid w:val="00E74A73"/>
    <w:rsid w:val="00E74C27"/>
    <w:rsid w:val="00E74C5C"/>
    <w:rsid w:val="00E74D1B"/>
    <w:rsid w:val="00E75616"/>
    <w:rsid w:val="00E757FE"/>
    <w:rsid w:val="00E75975"/>
    <w:rsid w:val="00E75A39"/>
    <w:rsid w:val="00E75A5C"/>
    <w:rsid w:val="00E75C8F"/>
    <w:rsid w:val="00E75C98"/>
    <w:rsid w:val="00E75CA7"/>
    <w:rsid w:val="00E75D6F"/>
    <w:rsid w:val="00E75DCD"/>
    <w:rsid w:val="00E75E15"/>
    <w:rsid w:val="00E75E35"/>
    <w:rsid w:val="00E760DE"/>
    <w:rsid w:val="00E76156"/>
    <w:rsid w:val="00E7650E"/>
    <w:rsid w:val="00E766DE"/>
    <w:rsid w:val="00E767BE"/>
    <w:rsid w:val="00E76831"/>
    <w:rsid w:val="00E76876"/>
    <w:rsid w:val="00E768B6"/>
    <w:rsid w:val="00E76930"/>
    <w:rsid w:val="00E76A41"/>
    <w:rsid w:val="00E76A6D"/>
    <w:rsid w:val="00E76BA0"/>
    <w:rsid w:val="00E76BEA"/>
    <w:rsid w:val="00E77314"/>
    <w:rsid w:val="00E7747E"/>
    <w:rsid w:val="00E774C9"/>
    <w:rsid w:val="00E77678"/>
    <w:rsid w:val="00E776F7"/>
    <w:rsid w:val="00E77756"/>
    <w:rsid w:val="00E77781"/>
    <w:rsid w:val="00E77891"/>
    <w:rsid w:val="00E77915"/>
    <w:rsid w:val="00E77A91"/>
    <w:rsid w:val="00E77CD2"/>
    <w:rsid w:val="00E77EC8"/>
    <w:rsid w:val="00E802FE"/>
    <w:rsid w:val="00E8053D"/>
    <w:rsid w:val="00E805E3"/>
    <w:rsid w:val="00E80743"/>
    <w:rsid w:val="00E8076B"/>
    <w:rsid w:val="00E80824"/>
    <w:rsid w:val="00E80B63"/>
    <w:rsid w:val="00E80CA5"/>
    <w:rsid w:val="00E810FB"/>
    <w:rsid w:val="00E81114"/>
    <w:rsid w:val="00E8111A"/>
    <w:rsid w:val="00E8117C"/>
    <w:rsid w:val="00E81285"/>
    <w:rsid w:val="00E813CA"/>
    <w:rsid w:val="00E81875"/>
    <w:rsid w:val="00E81A8D"/>
    <w:rsid w:val="00E81AC4"/>
    <w:rsid w:val="00E81B5E"/>
    <w:rsid w:val="00E81EA8"/>
    <w:rsid w:val="00E81F2E"/>
    <w:rsid w:val="00E822E2"/>
    <w:rsid w:val="00E82406"/>
    <w:rsid w:val="00E82541"/>
    <w:rsid w:val="00E825EA"/>
    <w:rsid w:val="00E82694"/>
    <w:rsid w:val="00E827E4"/>
    <w:rsid w:val="00E82874"/>
    <w:rsid w:val="00E8295E"/>
    <w:rsid w:val="00E82C93"/>
    <w:rsid w:val="00E82E3F"/>
    <w:rsid w:val="00E8300E"/>
    <w:rsid w:val="00E832DA"/>
    <w:rsid w:val="00E833CC"/>
    <w:rsid w:val="00E83525"/>
    <w:rsid w:val="00E8377C"/>
    <w:rsid w:val="00E83A28"/>
    <w:rsid w:val="00E83B89"/>
    <w:rsid w:val="00E83D36"/>
    <w:rsid w:val="00E83D7A"/>
    <w:rsid w:val="00E83DF8"/>
    <w:rsid w:val="00E840A3"/>
    <w:rsid w:val="00E842BC"/>
    <w:rsid w:val="00E84B38"/>
    <w:rsid w:val="00E84E7F"/>
    <w:rsid w:val="00E84FED"/>
    <w:rsid w:val="00E8507E"/>
    <w:rsid w:val="00E851DA"/>
    <w:rsid w:val="00E85241"/>
    <w:rsid w:val="00E8525A"/>
    <w:rsid w:val="00E85376"/>
    <w:rsid w:val="00E853D8"/>
    <w:rsid w:val="00E853F4"/>
    <w:rsid w:val="00E854ED"/>
    <w:rsid w:val="00E85711"/>
    <w:rsid w:val="00E85778"/>
    <w:rsid w:val="00E858D4"/>
    <w:rsid w:val="00E85D7D"/>
    <w:rsid w:val="00E86073"/>
    <w:rsid w:val="00E86600"/>
    <w:rsid w:val="00E86716"/>
    <w:rsid w:val="00E86DE3"/>
    <w:rsid w:val="00E871D4"/>
    <w:rsid w:val="00E871F6"/>
    <w:rsid w:val="00E87469"/>
    <w:rsid w:val="00E87477"/>
    <w:rsid w:val="00E87520"/>
    <w:rsid w:val="00E878F7"/>
    <w:rsid w:val="00E9000D"/>
    <w:rsid w:val="00E902F5"/>
    <w:rsid w:val="00E90361"/>
    <w:rsid w:val="00E9051A"/>
    <w:rsid w:val="00E909F3"/>
    <w:rsid w:val="00E90AAA"/>
    <w:rsid w:val="00E90B14"/>
    <w:rsid w:val="00E90DD5"/>
    <w:rsid w:val="00E90E19"/>
    <w:rsid w:val="00E90E3F"/>
    <w:rsid w:val="00E9105E"/>
    <w:rsid w:val="00E91094"/>
    <w:rsid w:val="00E911B4"/>
    <w:rsid w:val="00E913F3"/>
    <w:rsid w:val="00E91552"/>
    <w:rsid w:val="00E917BD"/>
    <w:rsid w:val="00E91A29"/>
    <w:rsid w:val="00E91A51"/>
    <w:rsid w:val="00E91AD6"/>
    <w:rsid w:val="00E91C21"/>
    <w:rsid w:val="00E91C85"/>
    <w:rsid w:val="00E91D76"/>
    <w:rsid w:val="00E91DEB"/>
    <w:rsid w:val="00E91E22"/>
    <w:rsid w:val="00E921E0"/>
    <w:rsid w:val="00E9229E"/>
    <w:rsid w:val="00E92479"/>
    <w:rsid w:val="00E92532"/>
    <w:rsid w:val="00E92659"/>
    <w:rsid w:val="00E926CE"/>
    <w:rsid w:val="00E9274E"/>
    <w:rsid w:val="00E927A8"/>
    <w:rsid w:val="00E927DB"/>
    <w:rsid w:val="00E927DD"/>
    <w:rsid w:val="00E92A99"/>
    <w:rsid w:val="00E92C59"/>
    <w:rsid w:val="00E92D56"/>
    <w:rsid w:val="00E92D94"/>
    <w:rsid w:val="00E92DCD"/>
    <w:rsid w:val="00E931BF"/>
    <w:rsid w:val="00E93261"/>
    <w:rsid w:val="00E93393"/>
    <w:rsid w:val="00E93614"/>
    <w:rsid w:val="00E936FE"/>
    <w:rsid w:val="00E938FE"/>
    <w:rsid w:val="00E939C0"/>
    <w:rsid w:val="00E93CCE"/>
    <w:rsid w:val="00E93CE2"/>
    <w:rsid w:val="00E93D5B"/>
    <w:rsid w:val="00E93DBD"/>
    <w:rsid w:val="00E93E68"/>
    <w:rsid w:val="00E93F83"/>
    <w:rsid w:val="00E93F97"/>
    <w:rsid w:val="00E93FBC"/>
    <w:rsid w:val="00E93FC3"/>
    <w:rsid w:val="00E94281"/>
    <w:rsid w:val="00E94324"/>
    <w:rsid w:val="00E94328"/>
    <w:rsid w:val="00E94559"/>
    <w:rsid w:val="00E946DB"/>
    <w:rsid w:val="00E9479F"/>
    <w:rsid w:val="00E947F8"/>
    <w:rsid w:val="00E94838"/>
    <w:rsid w:val="00E9487F"/>
    <w:rsid w:val="00E94975"/>
    <w:rsid w:val="00E94A79"/>
    <w:rsid w:val="00E94C4E"/>
    <w:rsid w:val="00E94D04"/>
    <w:rsid w:val="00E94E2F"/>
    <w:rsid w:val="00E95158"/>
    <w:rsid w:val="00E95178"/>
    <w:rsid w:val="00E95193"/>
    <w:rsid w:val="00E952EB"/>
    <w:rsid w:val="00E95462"/>
    <w:rsid w:val="00E95571"/>
    <w:rsid w:val="00E95667"/>
    <w:rsid w:val="00E95693"/>
    <w:rsid w:val="00E958A4"/>
    <w:rsid w:val="00E958FC"/>
    <w:rsid w:val="00E959EB"/>
    <w:rsid w:val="00E95C7F"/>
    <w:rsid w:val="00E95CB8"/>
    <w:rsid w:val="00E95CF5"/>
    <w:rsid w:val="00E95EA9"/>
    <w:rsid w:val="00E95FE1"/>
    <w:rsid w:val="00E96035"/>
    <w:rsid w:val="00E96200"/>
    <w:rsid w:val="00E96592"/>
    <w:rsid w:val="00E96604"/>
    <w:rsid w:val="00E9662D"/>
    <w:rsid w:val="00E9670D"/>
    <w:rsid w:val="00E96751"/>
    <w:rsid w:val="00E96777"/>
    <w:rsid w:val="00E96862"/>
    <w:rsid w:val="00E96917"/>
    <w:rsid w:val="00E96DD1"/>
    <w:rsid w:val="00E96F4F"/>
    <w:rsid w:val="00E9759E"/>
    <w:rsid w:val="00E976A0"/>
    <w:rsid w:val="00E97A71"/>
    <w:rsid w:val="00E97AFE"/>
    <w:rsid w:val="00E97BC9"/>
    <w:rsid w:val="00E97BED"/>
    <w:rsid w:val="00E97C08"/>
    <w:rsid w:val="00E97D5B"/>
    <w:rsid w:val="00E97E49"/>
    <w:rsid w:val="00E97F2C"/>
    <w:rsid w:val="00EA029E"/>
    <w:rsid w:val="00EA02F7"/>
    <w:rsid w:val="00EA0502"/>
    <w:rsid w:val="00EA0654"/>
    <w:rsid w:val="00EA0662"/>
    <w:rsid w:val="00EA0999"/>
    <w:rsid w:val="00EA099D"/>
    <w:rsid w:val="00EA09F5"/>
    <w:rsid w:val="00EA0C82"/>
    <w:rsid w:val="00EA0DC3"/>
    <w:rsid w:val="00EA0F0A"/>
    <w:rsid w:val="00EA0F1B"/>
    <w:rsid w:val="00EA1330"/>
    <w:rsid w:val="00EA1398"/>
    <w:rsid w:val="00EA1524"/>
    <w:rsid w:val="00EA1B83"/>
    <w:rsid w:val="00EA1D5B"/>
    <w:rsid w:val="00EA1EE6"/>
    <w:rsid w:val="00EA1F99"/>
    <w:rsid w:val="00EA2533"/>
    <w:rsid w:val="00EA2582"/>
    <w:rsid w:val="00EA26E0"/>
    <w:rsid w:val="00EA2D69"/>
    <w:rsid w:val="00EA2F0A"/>
    <w:rsid w:val="00EA2F49"/>
    <w:rsid w:val="00EA2FC7"/>
    <w:rsid w:val="00EA31CB"/>
    <w:rsid w:val="00EA333B"/>
    <w:rsid w:val="00EA3456"/>
    <w:rsid w:val="00EA3778"/>
    <w:rsid w:val="00EA396B"/>
    <w:rsid w:val="00EA3C18"/>
    <w:rsid w:val="00EA3D23"/>
    <w:rsid w:val="00EA3FE7"/>
    <w:rsid w:val="00EA40C6"/>
    <w:rsid w:val="00EA4295"/>
    <w:rsid w:val="00EA4560"/>
    <w:rsid w:val="00EA4757"/>
    <w:rsid w:val="00EA4A51"/>
    <w:rsid w:val="00EA4A57"/>
    <w:rsid w:val="00EA4B78"/>
    <w:rsid w:val="00EA4C44"/>
    <w:rsid w:val="00EA4DB2"/>
    <w:rsid w:val="00EA4EA2"/>
    <w:rsid w:val="00EA4EC1"/>
    <w:rsid w:val="00EA5019"/>
    <w:rsid w:val="00EA5067"/>
    <w:rsid w:val="00EA50F5"/>
    <w:rsid w:val="00EA54AD"/>
    <w:rsid w:val="00EA56D9"/>
    <w:rsid w:val="00EA57FF"/>
    <w:rsid w:val="00EA5805"/>
    <w:rsid w:val="00EA5827"/>
    <w:rsid w:val="00EA5B66"/>
    <w:rsid w:val="00EA5B7F"/>
    <w:rsid w:val="00EA5F0B"/>
    <w:rsid w:val="00EA5F7C"/>
    <w:rsid w:val="00EA6004"/>
    <w:rsid w:val="00EA6348"/>
    <w:rsid w:val="00EA636F"/>
    <w:rsid w:val="00EA6514"/>
    <w:rsid w:val="00EA6542"/>
    <w:rsid w:val="00EA657C"/>
    <w:rsid w:val="00EA65C1"/>
    <w:rsid w:val="00EA65E8"/>
    <w:rsid w:val="00EA66C7"/>
    <w:rsid w:val="00EA6714"/>
    <w:rsid w:val="00EA673B"/>
    <w:rsid w:val="00EA6856"/>
    <w:rsid w:val="00EA6901"/>
    <w:rsid w:val="00EA6C87"/>
    <w:rsid w:val="00EA6E52"/>
    <w:rsid w:val="00EA6ED5"/>
    <w:rsid w:val="00EA705A"/>
    <w:rsid w:val="00EA765A"/>
    <w:rsid w:val="00EA7825"/>
    <w:rsid w:val="00EA78AA"/>
    <w:rsid w:val="00EA78BA"/>
    <w:rsid w:val="00EA7C4A"/>
    <w:rsid w:val="00EA7CBC"/>
    <w:rsid w:val="00EA7F3D"/>
    <w:rsid w:val="00EB0119"/>
    <w:rsid w:val="00EB025A"/>
    <w:rsid w:val="00EB063E"/>
    <w:rsid w:val="00EB0686"/>
    <w:rsid w:val="00EB0B76"/>
    <w:rsid w:val="00EB0BAF"/>
    <w:rsid w:val="00EB0BF3"/>
    <w:rsid w:val="00EB0DE3"/>
    <w:rsid w:val="00EB0E4A"/>
    <w:rsid w:val="00EB0E8E"/>
    <w:rsid w:val="00EB0F7C"/>
    <w:rsid w:val="00EB0F91"/>
    <w:rsid w:val="00EB0FE2"/>
    <w:rsid w:val="00EB1268"/>
    <w:rsid w:val="00EB1274"/>
    <w:rsid w:val="00EB12DF"/>
    <w:rsid w:val="00EB142D"/>
    <w:rsid w:val="00EB1535"/>
    <w:rsid w:val="00EB1650"/>
    <w:rsid w:val="00EB195D"/>
    <w:rsid w:val="00EB1B57"/>
    <w:rsid w:val="00EB1BF5"/>
    <w:rsid w:val="00EB1DDE"/>
    <w:rsid w:val="00EB2108"/>
    <w:rsid w:val="00EB2150"/>
    <w:rsid w:val="00EB247D"/>
    <w:rsid w:val="00EB29A0"/>
    <w:rsid w:val="00EB29F2"/>
    <w:rsid w:val="00EB2BD4"/>
    <w:rsid w:val="00EB2D0B"/>
    <w:rsid w:val="00EB2D8C"/>
    <w:rsid w:val="00EB2E0A"/>
    <w:rsid w:val="00EB2E46"/>
    <w:rsid w:val="00EB316E"/>
    <w:rsid w:val="00EB330B"/>
    <w:rsid w:val="00EB3542"/>
    <w:rsid w:val="00EB363D"/>
    <w:rsid w:val="00EB3A30"/>
    <w:rsid w:val="00EB3E3E"/>
    <w:rsid w:val="00EB3F27"/>
    <w:rsid w:val="00EB3FF9"/>
    <w:rsid w:val="00EB41B5"/>
    <w:rsid w:val="00EB42C7"/>
    <w:rsid w:val="00EB446A"/>
    <w:rsid w:val="00EB44F9"/>
    <w:rsid w:val="00EB450B"/>
    <w:rsid w:val="00EB4690"/>
    <w:rsid w:val="00EB47D8"/>
    <w:rsid w:val="00EB4B27"/>
    <w:rsid w:val="00EB4B65"/>
    <w:rsid w:val="00EB4BB1"/>
    <w:rsid w:val="00EB4C67"/>
    <w:rsid w:val="00EB4C76"/>
    <w:rsid w:val="00EB4D5D"/>
    <w:rsid w:val="00EB4E71"/>
    <w:rsid w:val="00EB4F91"/>
    <w:rsid w:val="00EB5127"/>
    <w:rsid w:val="00EB5203"/>
    <w:rsid w:val="00EB5240"/>
    <w:rsid w:val="00EB531A"/>
    <w:rsid w:val="00EB54CA"/>
    <w:rsid w:val="00EB551F"/>
    <w:rsid w:val="00EB5769"/>
    <w:rsid w:val="00EB5828"/>
    <w:rsid w:val="00EB598F"/>
    <w:rsid w:val="00EB5AC1"/>
    <w:rsid w:val="00EB5AFA"/>
    <w:rsid w:val="00EB5B61"/>
    <w:rsid w:val="00EB5B7B"/>
    <w:rsid w:val="00EB5B8E"/>
    <w:rsid w:val="00EB5CB3"/>
    <w:rsid w:val="00EB5CE9"/>
    <w:rsid w:val="00EB5D64"/>
    <w:rsid w:val="00EB5F4D"/>
    <w:rsid w:val="00EB5F52"/>
    <w:rsid w:val="00EB5FAA"/>
    <w:rsid w:val="00EB6058"/>
    <w:rsid w:val="00EB60EE"/>
    <w:rsid w:val="00EB6267"/>
    <w:rsid w:val="00EB62C1"/>
    <w:rsid w:val="00EB6456"/>
    <w:rsid w:val="00EB66F1"/>
    <w:rsid w:val="00EB684E"/>
    <w:rsid w:val="00EB6E2E"/>
    <w:rsid w:val="00EB6FB6"/>
    <w:rsid w:val="00EB7299"/>
    <w:rsid w:val="00EB743C"/>
    <w:rsid w:val="00EB79E6"/>
    <w:rsid w:val="00EB7BA8"/>
    <w:rsid w:val="00EB7DBF"/>
    <w:rsid w:val="00EBA905"/>
    <w:rsid w:val="00EC007A"/>
    <w:rsid w:val="00EC0170"/>
    <w:rsid w:val="00EC0278"/>
    <w:rsid w:val="00EC028B"/>
    <w:rsid w:val="00EC041C"/>
    <w:rsid w:val="00EC05A8"/>
    <w:rsid w:val="00EC05C4"/>
    <w:rsid w:val="00EC0889"/>
    <w:rsid w:val="00EC08A7"/>
    <w:rsid w:val="00EC0AB0"/>
    <w:rsid w:val="00EC0BFF"/>
    <w:rsid w:val="00EC0C21"/>
    <w:rsid w:val="00EC0CA5"/>
    <w:rsid w:val="00EC0F76"/>
    <w:rsid w:val="00EC1003"/>
    <w:rsid w:val="00EC10E5"/>
    <w:rsid w:val="00EC133D"/>
    <w:rsid w:val="00EC1361"/>
    <w:rsid w:val="00EC138E"/>
    <w:rsid w:val="00EC1571"/>
    <w:rsid w:val="00EC164D"/>
    <w:rsid w:val="00EC1691"/>
    <w:rsid w:val="00EC1738"/>
    <w:rsid w:val="00EC17BC"/>
    <w:rsid w:val="00EC1864"/>
    <w:rsid w:val="00EC19B0"/>
    <w:rsid w:val="00EC19DD"/>
    <w:rsid w:val="00EC1AD8"/>
    <w:rsid w:val="00EC1D92"/>
    <w:rsid w:val="00EC1DC0"/>
    <w:rsid w:val="00EC20DF"/>
    <w:rsid w:val="00EC2224"/>
    <w:rsid w:val="00EC2252"/>
    <w:rsid w:val="00EC231B"/>
    <w:rsid w:val="00EC24BF"/>
    <w:rsid w:val="00EC2D27"/>
    <w:rsid w:val="00EC2E63"/>
    <w:rsid w:val="00EC2E85"/>
    <w:rsid w:val="00EC2E9B"/>
    <w:rsid w:val="00EC2F87"/>
    <w:rsid w:val="00EC3026"/>
    <w:rsid w:val="00EC31B5"/>
    <w:rsid w:val="00EC31F5"/>
    <w:rsid w:val="00EC34CE"/>
    <w:rsid w:val="00EC3696"/>
    <w:rsid w:val="00EC36EF"/>
    <w:rsid w:val="00EC3914"/>
    <w:rsid w:val="00EC3916"/>
    <w:rsid w:val="00EC3A5B"/>
    <w:rsid w:val="00EC3B10"/>
    <w:rsid w:val="00EC3B93"/>
    <w:rsid w:val="00EC3EB0"/>
    <w:rsid w:val="00EC4116"/>
    <w:rsid w:val="00EC43BA"/>
    <w:rsid w:val="00EC45B2"/>
    <w:rsid w:val="00EC471B"/>
    <w:rsid w:val="00EC47E2"/>
    <w:rsid w:val="00EC4B67"/>
    <w:rsid w:val="00EC4C11"/>
    <w:rsid w:val="00EC4CBA"/>
    <w:rsid w:val="00EC4D55"/>
    <w:rsid w:val="00EC4D8A"/>
    <w:rsid w:val="00EC4D9B"/>
    <w:rsid w:val="00EC50EA"/>
    <w:rsid w:val="00EC512A"/>
    <w:rsid w:val="00EC51FF"/>
    <w:rsid w:val="00EC538E"/>
    <w:rsid w:val="00EC554F"/>
    <w:rsid w:val="00EC5650"/>
    <w:rsid w:val="00EC56CA"/>
    <w:rsid w:val="00EC5AD8"/>
    <w:rsid w:val="00EC5B8B"/>
    <w:rsid w:val="00EC5D2A"/>
    <w:rsid w:val="00EC5FA6"/>
    <w:rsid w:val="00EC610A"/>
    <w:rsid w:val="00EC6788"/>
    <w:rsid w:val="00EC6865"/>
    <w:rsid w:val="00EC6AC2"/>
    <w:rsid w:val="00EC6C6C"/>
    <w:rsid w:val="00EC6D0B"/>
    <w:rsid w:val="00EC7180"/>
    <w:rsid w:val="00EC72A0"/>
    <w:rsid w:val="00EC730B"/>
    <w:rsid w:val="00EC7388"/>
    <w:rsid w:val="00EC73CF"/>
    <w:rsid w:val="00EC73DB"/>
    <w:rsid w:val="00EC768F"/>
    <w:rsid w:val="00EC79B3"/>
    <w:rsid w:val="00EC7A14"/>
    <w:rsid w:val="00EC7A23"/>
    <w:rsid w:val="00EC7CD3"/>
    <w:rsid w:val="00EC7D31"/>
    <w:rsid w:val="00EC7EFE"/>
    <w:rsid w:val="00EC7F46"/>
    <w:rsid w:val="00EC7F6C"/>
    <w:rsid w:val="00ED0057"/>
    <w:rsid w:val="00ED0114"/>
    <w:rsid w:val="00ED0345"/>
    <w:rsid w:val="00ED03F3"/>
    <w:rsid w:val="00ED046F"/>
    <w:rsid w:val="00ED0680"/>
    <w:rsid w:val="00ED0699"/>
    <w:rsid w:val="00ED06C5"/>
    <w:rsid w:val="00ED070C"/>
    <w:rsid w:val="00ED09A6"/>
    <w:rsid w:val="00ED0B3F"/>
    <w:rsid w:val="00ED0B7B"/>
    <w:rsid w:val="00ED0B9A"/>
    <w:rsid w:val="00ED0E1F"/>
    <w:rsid w:val="00ED0E97"/>
    <w:rsid w:val="00ED0FE0"/>
    <w:rsid w:val="00ED103A"/>
    <w:rsid w:val="00ED114E"/>
    <w:rsid w:val="00ED1657"/>
    <w:rsid w:val="00ED173B"/>
    <w:rsid w:val="00ED18B8"/>
    <w:rsid w:val="00ED18FE"/>
    <w:rsid w:val="00ED1BF7"/>
    <w:rsid w:val="00ED1DEC"/>
    <w:rsid w:val="00ED1E90"/>
    <w:rsid w:val="00ED1FCE"/>
    <w:rsid w:val="00ED2215"/>
    <w:rsid w:val="00ED2311"/>
    <w:rsid w:val="00ED2438"/>
    <w:rsid w:val="00ED28EA"/>
    <w:rsid w:val="00ED2C55"/>
    <w:rsid w:val="00ED2D83"/>
    <w:rsid w:val="00ED2D85"/>
    <w:rsid w:val="00ED2F4A"/>
    <w:rsid w:val="00ED3018"/>
    <w:rsid w:val="00ED3068"/>
    <w:rsid w:val="00ED3137"/>
    <w:rsid w:val="00ED342F"/>
    <w:rsid w:val="00ED344B"/>
    <w:rsid w:val="00ED351B"/>
    <w:rsid w:val="00ED353A"/>
    <w:rsid w:val="00ED35CC"/>
    <w:rsid w:val="00ED369D"/>
    <w:rsid w:val="00ED37F0"/>
    <w:rsid w:val="00ED3879"/>
    <w:rsid w:val="00ED3B4D"/>
    <w:rsid w:val="00ED3CB5"/>
    <w:rsid w:val="00ED3D7B"/>
    <w:rsid w:val="00ED41DB"/>
    <w:rsid w:val="00ED4277"/>
    <w:rsid w:val="00ED427B"/>
    <w:rsid w:val="00ED467B"/>
    <w:rsid w:val="00ED46CF"/>
    <w:rsid w:val="00ED47EB"/>
    <w:rsid w:val="00ED49A1"/>
    <w:rsid w:val="00ED4B22"/>
    <w:rsid w:val="00ED4BD9"/>
    <w:rsid w:val="00ED4E21"/>
    <w:rsid w:val="00ED50A2"/>
    <w:rsid w:val="00ED517B"/>
    <w:rsid w:val="00ED518A"/>
    <w:rsid w:val="00ED5198"/>
    <w:rsid w:val="00ED51B0"/>
    <w:rsid w:val="00ED526A"/>
    <w:rsid w:val="00ED528B"/>
    <w:rsid w:val="00ED5341"/>
    <w:rsid w:val="00ED55A6"/>
    <w:rsid w:val="00ED5642"/>
    <w:rsid w:val="00ED5656"/>
    <w:rsid w:val="00ED56B0"/>
    <w:rsid w:val="00ED57B1"/>
    <w:rsid w:val="00ED5976"/>
    <w:rsid w:val="00ED5DB7"/>
    <w:rsid w:val="00ED5F8C"/>
    <w:rsid w:val="00ED61C5"/>
    <w:rsid w:val="00ED6366"/>
    <w:rsid w:val="00ED638E"/>
    <w:rsid w:val="00ED65DE"/>
    <w:rsid w:val="00ED667D"/>
    <w:rsid w:val="00ED6738"/>
    <w:rsid w:val="00ED6872"/>
    <w:rsid w:val="00ED6A80"/>
    <w:rsid w:val="00ED6B66"/>
    <w:rsid w:val="00ED6E0F"/>
    <w:rsid w:val="00ED6E15"/>
    <w:rsid w:val="00ED6F39"/>
    <w:rsid w:val="00ED70F7"/>
    <w:rsid w:val="00ED727A"/>
    <w:rsid w:val="00ED72D2"/>
    <w:rsid w:val="00ED7363"/>
    <w:rsid w:val="00ED7A2C"/>
    <w:rsid w:val="00ED7F52"/>
    <w:rsid w:val="00ED7F59"/>
    <w:rsid w:val="00EE008F"/>
    <w:rsid w:val="00EE00A4"/>
    <w:rsid w:val="00EE0186"/>
    <w:rsid w:val="00EE027D"/>
    <w:rsid w:val="00EE0647"/>
    <w:rsid w:val="00EE08FD"/>
    <w:rsid w:val="00EE0972"/>
    <w:rsid w:val="00EE0AB0"/>
    <w:rsid w:val="00EE0C56"/>
    <w:rsid w:val="00EE0D70"/>
    <w:rsid w:val="00EE0FE4"/>
    <w:rsid w:val="00EE10BC"/>
    <w:rsid w:val="00EE1138"/>
    <w:rsid w:val="00EE1153"/>
    <w:rsid w:val="00EE1502"/>
    <w:rsid w:val="00EE154C"/>
    <w:rsid w:val="00EE1585"/>
    <w:rsid w:val="00EE15B1"/>
    <w:rsid w:val="00EE17EE"/>
    <w:rsid w:val="00EE187A"/>
    <w:rsid w:val="00EE19CC"/>
    <w:rsid w:val="00EE1A1B"/>
    <w:rsid w:val="00EE25E2"/>
    <w:rsid w:val="00EE27CA"/>
    <w:rsid w:val="00EE2B0A"/>
    <w:rsid w:val="00EE2B65"/>
    <w:rsid w:val="00EE2BBD"/>
    <w:rsid w:val="00EE2ED0"/>
    <w:rsid w:val="00EE3395"/>
    <w:rsid w:val="00EE354C"/>
    <w:rsid w:val="00EE3739"/>
    <w:rsid w:val="00EE3AD3"/>
    <w:rsid w:val="00EE3AFB"/>
    <w:rsid w:val="00EE3B1E"/>
    <w:rsid w:val="00EE3EE9"/>
    <w:rsid w:val="00EE3FD4"/>
    <w:rsid w:val="00EE4040"/>
    <w:rsid w:val="00EE40A9"/>
    <w:rsid w:val="00EE41CD"/>
    <w:rsid w:val="00EE421E"/>
    <w:rsid w:val="00EE4222"/>
    <w:rsid w:val="00EE42DE"/>
    <w:rsid w:val="00EE4353"/>
    <w:rsid w:val="00EE447D"/>
    <w:rsid w:val="00EE462D"/>
    <w:rsid w:val="00EE4950"/>
    <w:rsid w:val="00EE4B48"/>
    <w:rsid w:val="00EE4C89"/>
    <w:rsid w:val="00EE4D87"/>
    <w:rsid w:val="00EE4FAA"/>
    <w:rsid w:val="00EE50D8"/>
    <w:rsid w:val="00EE571B"/>
    <w:rsid w:val="00EE598C"/>
    <w:rsid w:val="00EE59EF"/>
    <w:rsid w:val="00EE5A1E"/>
    <w:rsid w:val="00EE5A57"/>
    <w:rsid w:val="00EE5B19"/>
    <w:rsid w:val="00EE5BB8"/>
    <w:rsid w:val="00EE5BFC"/>
    <w:rsid w:val="00EE5C34"/>
    <w:rsid w:val="00EE5C7A"/>
    <w:rsid w:val="00EE5D55"/>
    <w:rsid w:val="00EE5FE4"/>
    <w:rsid w:val="00EE6233"/>
    <w:rsid w:val="00EE6369"/>
    <w:rsid w:val="00EE63C4"/>
    <w:rsid w:val="00EE6417"/>
    <w:rsid w:val="00EE64A7"/>
    <w:rsid w:val="00EE6583"/>
    <w:rsid w:val="00EE6602"/>
    <w:rsid w:val="00EE66D7"/>
    <w:rsid w:val="00EE6724"/>
    <w:rsid w:val="00EE6820"/>
    <w:rsid w:val="00EE6882"/>
    <w:rsid w:val="00EE6BE1"/>
    <w:rsid w:val="00EE6BFF"/>
    <w:rsid w:val="00EE6C01"/>
    <w:rsid w:val="00EE6E17"/>
    <w:rsid w:val="00EE6E28"/>
    <w:rsid w:val="00EE7209"/>
    <w:rsid w:val="00EE7260"/>
    <w:rsid w:val="00EE7840"/>
    <w:rsid w:val="00EE7AB7"/>
    <w:rsid w:val="00EE7AE7"/>
    <w:rsid w:val="00EE7BE7"/>
    <w:rsid w:val="00EE7D23"/>
    <w:rsid w:val="00EE7E59"/>
    <w:rsid w:val="00EE7F15"/>
    <w:rsid w:val="00EF0158"/>
    <w:rsid w:val="00EF02CC"/>
    <w:rsid w:val="00EF04CE"/>
    <w:rsid w:val="00EF06D9"/>
    <w:rsid w:val="00EF095A"/>
    <w:rsid w:val="00EF0DEB"/>
    <w:rsid w:val="00EF0E6A"/>
    <w:rsid w:val="00EF0FEF"/>
    <w:rsid w:val="00EF1223"/>
    <w:rsid w:val="00EF1374"/>
    <w:rsid w:val="00EF148F"/>
    <w:rsid w:val="00EF1720"/>
    <w:rsid w:val="00EF17A6"/>
    <w:rsid w:val="00EF1916"/>
    <w:rsid w:val="00EF1968"/>
    <w:rsid w:val="00EF1AE0"/>
    <w:rsid w:val="00EF1CDA"/>
    <w:rsid w:val="00EF1E66"/>
    <w:rsid w:val="00EF1E67"/>
    <w:rsid w:val="00EF1EA5"/>
    <w:rsid w:val="00EF1F99"/>
    <w:rsid w:val="00EF2346"/>
    <w:rsid w:val="00EF238D"/>
    <w:rsid w:val="00EF2464"/>
    <w:rsid w:val="00EF2585"/>
    <w:rsid w:val="00EF27D4"/>
    <w:rsid w:val="00EF280B"/>
    <w:rsid w:val="00EF2931"/>
    <w:rsid w:val="00EF2CD5"/>
    <w:rsid w:val="00EF2CE0"/>
    <w:rsid w:val="00EF3370"/>
    <w:rsid w:val="00EF3807"/>
    <w:rsid w:val="00EF3B00"/>
    <w:rsid w:val="00EF3B98"/>
    <w:rsid w:val="00EF3D1B"/>
    <w:rsid w:val="00EF3EA1"/>
    <w:rsid w:val="00EF4030"/>
    <w:rsid w:val="00EF411A"/>
    <w:rsid w:val="00EF4147"/>
    <w:rsid w:val="00EF4237"/>
    <w:rsid w:val="00EF43F6"/>
    <w:rsid w:val="00EF4425"/>
    <w:rsid w:val="00EF4457"/>
    <w:rsid w:val="00EF4758"/>
    <w:rsid w:val="00EF4BA8"/>
    <w:rsid w:val="00EF4BC8"/>
    <w:rsid w:val="00EF4C50"/>
    <w:rsid w:val="00EF4C79"/>
    <w:rsid w:val="00EF4E2A"/>
    <w:rsid w:val="00EF4E77"/>
    <w:rsid w:val="00EF52D1"/>
    <w:rsid w:val="00EF57CC"/>
    <w:rsid w:val="00EF58AC"/>
    <w:rsid w:val="00EF5933"/>
    <w:rsid w:val="00EF59EF"/>
    <w:rsid w:val="00EF5BAD"/>
    <w:rsid w:val="00EF5BCC"/>
    <w:rsid w:val="00EF5C42"/>
    <w:rsid w:val="00EF5D51"/>
    <w:rsid w:val="00EF5E36"/>
    <w:rsid w:val="00EF5E56"/>
    <w:rsid w:val="00EF5EF9"/>
    <w:rsid w:val="00EF5F89"/>
    <w:rsid w:val="00EF600B"/>
    <w:rsid w:val="00EF651F"/>
    <w:rsid w:val="00EF6614"/>
    <w:rsid w:val="00EF66B3"/>
    <w:rsid w:val="00EF68C6"/>
    <w:rsid w:val="00EF6A03"/>
    <w:rsid w:val="00EF6BE8"/>
    <w:rsid w:val="00EF6CB2"/>
    <w:rsid w:val="00EF6E9A"/>
    <w:rsid w:val="00EF6F88"/>
    <w:rsid w:val="00EF7233"/>
    <w:rsid w:val="00EF7264"/>
    <w:rsid w:val="00EF727B"/>
    <w:rsid w:val="00EF7342"/>
    <w:rsid w:val="00EF73EC"/>
    <w:rsid w:val="00EF7604"/>
    <w:rsid w:val="00EF76B6"/>
    <w:rsid w:val="00EF7AE2"/>
    <w:rsid w:val="00EF7B97"/>
    <w:rsid w:val="00EF7E37"/>
    <w:rsid w:val="00EF7E5E"/>
    <w:rsid w:val="00EF7ECE"/>
    <w:rsid w:val="00EF7F3F"/>
    <w:rsid w:val="00EF7F83"/>
    <w:rsid w:val="00F002BB"/>
    <w:rsid w:val="00F00352"/>
    <w:rsid w:val="00F00424"/>
    <w:rsid w:val="00F0074B"/>
    <w:rsid w:val="00F007A4"/>
    <w:rsid w:val="00F007CA"/>
    <w:rsid w:val="00F00854"/>
    <w:rsid w:val="00F00913"/>
    <w:rsid w:val="00F00A44"/>
    <w:rsid w:val="00F00BF1"/>
    <w:rsid w:val="00F00C1B"/>
    <w:rsid w:val="00F00DD4"/>
    <w:rsid w:val="00F00EF7"/>
    <w:rsid w:val="00F00F39"/>
    <w:rsid w:val="00F012C2"/>
    <w:rsid w:val="00F013BF"/>
    <w:rsid w:val="00F01460"/>
    <w:rsid w:val="00F01558"/>
    <w:rsid w:val="00F0168B"/>
    <w:rsid w:val="00F01832"/>
    <w:rsid w:val="00F01B2D"/>
    <w:rsid w:val="00F01CD4"/>
    <w:rsid w:val="00F0211A"/>
    <w:rsid w:val="00F0231C"/>
    <w:rsid w:val="00F0231D"/>
    <w:rsid w:val="00F02443"/>
    <w:rsid w:val="00F02655"/>
    <w:rsid w:val="00F0265A"/>
    <w:rsid w:val="00F0270E"/>
    <w:rsid w:val="00F02773"/>
    <w:rsid w:val="00F02812"/>
    <w:rsid w:val="00F029E0"/>
    <w:rsid w:val="00F02A86"/>
    <w:rsid w:val="00F02BC0"/>
    <w:rsid w:val="00F02C27"/>
    <w:rsid w:val="00F02CA2"/>
    <w:rsid w:val="00F02D2F"/>
    <w:rsid w:val="00F02E3D"/>
    <w:rsid w:val="00F033AD"/>
    <w:rsid w:val="00F036D6"/>
    <w:rsid w:val="00F03742"/>
    <w:rsid w:val="00F0375A"/>
    <w:rsid w:val="00F03A5D"/>
    <w:rsid w:val="00F03BE9"/>
    <w:rsid w:val="00F03E5E"/>
    <w:rsid w:val="00F03F77"/>
    <w:rsid w:val="00F042E5"/>
    <w:rsid w:val="00F0441C"/>
    <w:rsid w:val="00F04596"/>
    <w:rsid w:val="00F046A0"/>
    <w:rsid w:val="00F0474E"/>
    <w:rsid w:val="00F048C2"/>
    <w:rsid w:val="00F04B61"/>
    <w:rsid w:val="00F04C6E"/>
    <w:rsid w:val="00F04C83"/>
    <w:rsid w:val="00F04D99"/>
    <w:rsid w:val="00F04E96"/>
    <w:rsid w:val="00F0503B"/>
    <w:rsid w:val="00F05050"/>
    <w:rsid w:val="00F05511"/>
    <w:rsid w:val="00F05613"/>
    <w:rsid w:val="00F05799"/>
    <w:rsid w:val="00F058A5"/>
    <w:rsid w:val="00F058F0"/>
    <w:rsid w:val="00F059D8"/>
    <w:rsid w:val="00F05C47"/>
    <w:rsid w:val="00F05CDC"/>
    <w:rsid w:val="00F05E1E"/>
    <w:rsid w:val="00F05E87"/>
    <w:rsid w:val="00F05E9B"/>
    <w:rsid w:val="00F05EA0"/>
    <w:rsid w:val="00F060CF"/>
    <w:rsid w:val="00F060E2"/>
    <w:rsid w:val="00F06134"/>
    <w:rsid w:val="00F06222"/>
    <w:rsid w:val="00F063F3"/>
    <w:rsid w:val="00F06427"/>
    <w:rsid w:val="00F06493"/>
    <w:rsid w:val="00F06607"/>
    <w:rsid w:val="00F06887"/>
    <w:rsid w:val="00F06B45"/>
    <w:rsid w:val="00F06CC2"/>
    <w:rsid w:val="00F06CD8"/>
    <w:rsid w:val="00F0703C"/>
    <w:rsid w:val="00F070B4"/>
    <w:rsid w:val="00F07110"/>
    <w:rsid w:val="00F071C3"/>
    <w:rsid w:val="00F072F2"/>
    <w:rsid w:val="00F07328"/>
    <w:rsid w:val="00F07829"/>
    <w:rsid w:val="00F0783C"/>
    <w:rsid w:val="00F07938"/>
    <w:rsid w:val="00F07A9E"/>
    <w:rsid w:val="00F07AC0"/>
    <w:rsid w:val="00F07B6B"/>
    <w:rsid w:val="00F07C75"/>
    <w:rsid w:val="00F07DA5"/>
    <w:rsid w:val="00F10216"/>
    <w:rsid w:val="00F1022E"/>
    <w:rsid w:val="00F1024F"/>
    <w:rsid w:val="00F1061D"/>
    <w:rsid w:val="00F1063E"/>
    <w:rsid w:val="00F1069F"/>
    <w:rsid w:val="00F109D7"/>
    <w:rsid w:val="00F109FC"/>
    <w:rsid w:val="00F10C27"/>
    <w:rsid w:val="00F10CB8"/>
    <w:rsid w:val="00F11107"/>
    <w:rsid w:val="00F11118"/>
    <w:rsid w:val="00F11565"/>
    <w:rsid w:val="00F1164D"/>
    <w:rsid w:val="00F116C4"/>
    <w:rsid w:val="00F117DC"/>
    <w:rsid w:val="00F117EA"/>
    <w:rsid w:val="00F11902"/>
    <w:rsid w:val="00F11964"/>
    <w:rsid w:val="00F119C4"/>
    <w:rsid w:val="00F11A21"/>
    <w:rsid w:val="00F11A47"/>
    <w:rsid w:val="00F11B4A"/>
    <w:rsid w:val="00F1243F"/>
    <w:rsid w:val="00F1250B"/>
    <w:rsid w:val="00F126CA"/>
    <w:rsid w:val="00F1288E"/>
    <w:rsid w:val="00F12A4D"/>
    <w:rsid w:val="00F12BBE"/>
    <w:rsid w:val="00F12BC1"/>
    <w:rsid w:val="00F12CB8"/>
    <w:rsid w:val="00F12F0F"/>
    <w:rsid w:val="00F13023"/>
    <w:rsid w:val="00F130AA"/>
    <w:rsid w:val="00F13176"/>
    <w:rsid w:val="00F134CD"/>
    <w:rsid w:val="00F1358F"/>
    <w:rsid w:val="00F139D5"/>
    <w:rsid w:val="00F13B21"/>
    <w:rsid w:val="00F13C63"/>
    <w:rsid w:val="00F13D69"/>
    <w:rsid w:val="00F13F67"/>
    <w:rsid w:val="00F13FAA"/>
    <w:rsid w:val="00F14095"/>
    <w:rsid w:val="00F14098"/>
    <w:rsid w:val="00F144D9"/>
    <w:rsid w:val="00F14563"/>
    <w:rsid w:val="00F145E2"/>
    <w:rsid w:val="00F146A8"/>
    <w:rsid w:val="00F14A10"/>
    <w:rsid w:val="00F14A49"/>
    <w:rsid w:val="00F14A50"/>
    <w:rsid w:val="00F14C0B"/>
    <w:rsid w:val="00F14D62"/>
    <w:rsid w:val="00F14EAF"/>
    <w:rsid w:val="00F15233"/>
    <w:rsid w:val="00F15492"/>
    <w:rsid w:val="00F15650"/>
    <w:rsid w:val="00F15734"/>
    <w:rsid w:val="00F1573E"/>
    <w:rsid w:val="00F1594C"/>
    <w:rsid w:val="00F15A01"/>
    <w:rsid w:val="00F15BBE"/>
    <w:rsid w:val="00F15D3E"/>
    <w:rsid w:val="00F1600D"/>
    <w:rsid w:val="00F1640A"/>
    <w:rsid w:val="00F16506"/>
    <w:rsid w:val="00F1650B"/>
    <w:rsid w:val="00F165E6"/>
    <w:rsid w:val="00F16633"/>
    <w:rsid w:val="00F16A5D"/>
    <w:rsid w:val="00F16D92"/>
    <w:rsid w:val="00F16E47"/>
    <w:rsid w:val="00F16FED"/>
    <w:rsid w:val="00F16FEF"/>
    <w:rsid w:val="00F17290"/>
    <w:rsid w:val="00F174F8"/>
    <w:rsid w:val="00F17524"/>
    <w:rsid w:val="00F176FF"/>
    <w:rsid w:val="00F17910"/>
    <w:rsid w:val="00F17928"/>
    <w:rsid w:val="00F17A6A"/>
    <w:rsid w:val="00F17E0F"/>
    <w:rsid w:val="00F17F8E"/>
    <w:rsid w:val="00F20037"/>
    <w:rsid w:val="00F20197"/>
    <w:rsid w:val="00F20279"/>
    <w:rsid w:val="00F202FF"/>
    <w:rsid w:val="00F2054D"/>
    <w:rsid w:val="00F206A6"/>
    <w:rsid w:val="00F20E9D"/>
    <w:rsid w:val="00F21103"/>
    <w:rsid w:val="00F2141F"/>
    <w:rsid w:val="00F21510"/>
    <w:rsid w:val="00F21A52"/>
    <w:rsid w:val="00F21E1A"/>
    <w:rsid w:val="00F22267"/>
    <w:rsid w:val="00F2229F"/>
    <w:rsid w:val="00F22476"/>
    <w:rsid w:val="00F22503"/>
    <w:rsid w:val="00F2256C"/>
    <w:rsid w:val="00F22920"/>
    <w:rsid w:val="00F22976"/>
    <w:rsid w:val="00F22BB4"/>
    <w:rsid w:val="00F22CB4"/>
    <w:rsid w:val="00F22DAD"/>
    <w:rsid w:val="00F22DC8"/>
    <w:rsid w:val="00F22FBD"/>
    <w:rsid w:val="00F23217"/>
    <w:rsid w:val="00F2325D"/>
    <w:rsid w:val="00F2326C"/>
    <w:rsid w:val="00F23271"/>
    <w:rsid w:val="00F233CF"/>
    <w:rsid w:val="00F23424"/>
    <w:rsid w:val="00F236B9"/>
    <w:rsid w:val="00F23716"/>
    <w:rsid w:val="00F23A7F"/>
    <w:rsid w:val="00F23ABC"/>
    <w:rsid w:val="00F23BFA"/>
    <w:rsid w:val="00F23C8D"/>
    <w:rsid w:val="00F23DBC"/>
    <w:rsid w:val="00F23F5A"/>
    <w:rsid w:val="00F241E3"/>
    <w:rsid w:val="00F24545"/>
    <w:rsid w:val="00F245DA"/>
    <w:rsid w:val="00F24769"/>
    <w:rsid w:val="00F2492A"/>
    <w:rsid w:val="00F24B2B"/>
    <w:rsid w:val="00F24CA6"/>
    <w:rsid w:val="00F24D91"/>
    <w:rsid w:val="00F24DCB"/>
    <w:rsid w:val="00F25211"/>
    <w:rsid w:val="00F25399"/>
    <w:rsid w:val="00F253D1"/>
    <w:rsid w:val="00F255DB"/>
    <w:rsid w:val="00F2575E"/>
    <w:rsid w:val="00F25916"/>
    <w:rsid w:val="00F25950"/>
    <w:rsid w:val="00F259DF"/>
    <w:rsid w:val="00F25A65"/>
    <w:rsid w:val="00F25B0F"/>
    <w:rsid w:val="00F25B25"/>
    <w:rsid w:val="00F25B26"/>
    <w:rsid w:val="00F25BE4"/>
    <w:rsid w:val="00F25F25"/>
    <w:rsid w:val="00F26117"/>
    <w:rsid w:val="00F2614A"/>
    <w:rsid w:val="00F262D6"/>
    <w:rsid w:val="00F265D2"/>
    <w:rsid w:val="00F26615"/>
    <w:rsid w:val="00F266B4"/>
    <w:rsid w:val="00F2673C"/>
    <w:rsid w:val="00F26795"/>
    <w:rsid w:val="00F26A55"/>
    <w:rsid w:val="00F26B5C"/>
    <w:rsid w:val="00F26BA4"/>
    <w:rsid w:val="00F26EAE"/>
    <w:rsid w:val="00F26FEA"/>
    <w:rsid w:val="00F272DC"/>
    <w:rsid w:val="00F27548"/>
    <w:rsid w:val="00F27585"/>
    <w:rsid w:val="00F27619"/>
    <w:rsid w:val="00F27625"/>
    <w:rsid w:val="00F2769D"/>
    <w:rsid w:val="00F2774F"/>
    <w:rsid w:val="00F278A3"/>
    <w:rsid w:val="00F27D66"/>
    <w:rsid w:val="00F302B5"/>
    <w:rsid w:val="00F302CF"/>
    <w:rsid w:val="00F302E2"/>
    <w:rsid w:val="00F30368"/>
    <w:rsid w:val="00F30480"/>
    <w:rsid w:val="00F30502"/>
    <w:rsid w:val="00F3050C"/>
    <w:rsid w:val="00F30584"/>
    <w:rsid w:val="00F306E7"/>
    <w:rsid w:val="00F30740"/>
    <w:rsid w:val="00F30876"/>
    <w:rsid w:val="00F30993"/>
    <w:rsid w:val="00F3099E"/>
    <w:rsid w:val="00F30E9A"/>
    <w:rsid w:val="00F30EF2"/>
    <w:rsid w:val="00F30FCB"/>
    <w:rsid w:val="00F31215"/>
    <w:rsid w:val="00F31785"/>
    <w:rsid w:val="00F31885"/>
    <w:rsid w:val="00F318AE"/>
    <w:rsid w:val="00F319EB"/>
    <w:rsid w:val="00F31B91"/>
    <w:rsid w:val="00F31C11"/>
    <w:rsid w:val="00F31C68"/>
    <w:rsid w:val="00F31C81"/>
    <w:rsid w:val="00F31CB6"/>
    <w:rsid w:val="00F31DB5"/>
    <w:rsid w:val="00F31EC4"/>
    <w:rsid w:val="00F320EC"/>
    <w:rsid w:val="00F321DF"/>
    <w:rsid w:val="00F322F8"/>
    <w:rsid w:val="00F3245D"/>
    <w:rsid w:val="00F32563"/>
    <w:rsid w:val="00F327A6"/>
    <w:rsid w:val="00F328E2"/>
    <w:rsid w:val="00F328E6"/>
    <w:rsid w:val="00F32963"/>
    <w:rsid w:val="00F32AF8"/>
    <w:rsid w:val="00F32DBC"/>
    <w:rsid w:val="00F33009"/>
    <w:rsid w:val="00F3309F"/>
    <w:rsid w:val="00F330C1"/>
    <w:rsid w:val="00F33327"/>
    <w:rsid w:val="00F33508"/>
    <w:rsid w:val="00F338C1"/>
    <w:rsid w:val="00F340A4"/>
    <w:rsid w:val="00F34108"/>
    <w:rsid w:val="00F341B8"/>
    <w:rsid w:val="00F343B9"/>
    <w:rsid w:val="00F3462E"/>
    <w:rsid w:val="00F34650"/>
    <w:rsid w:val="00F34736"/>
    <w:rsid w:val="00F3477E"/>
    <w:rsid w:val="00F347F1"/>
    <w:rsid w:val="00F3495C"/>
    <w:rsid w:val="00F34B62"/>
    <w:rsid w:val="00F34DA9"/>
    <w:rsid w:val="00F35357"/>
    <w:rsid w:val="00F357B7"/>
    <w:rsid w:val="00F35B9C"/>
    <w:rsid w:val="00F35C60"/>
    <w:rsid w:val="00F35CF4"/>
    <w:rsid w:val="00F35ECF"/>
    <w:rsid w:val="00F360FD"/>
    <w:rsid w:val="00F36511"/>
    <w:rsid w:val="00F36F49"/>
    <w:rsid w:val="00F3712F"/>
    <w:rsid w:val="00F37190"/>
    <w:rsid w:val="00F37423"/>
    <w:rsid w:val="00F37437"/>
    <w:rsid w:val="00F3745F"/>
    <w:rsid w:val="00F3746C"/>
    <w:rsid w:val="00F37510"/>
    <w:rsid w:val="00F37752"/>
    <w:rsid w:val="00F377BE"/>
    <w:rsid w:val="00F4004C"/>
    <w:rsid w:val="00F400AD"/>
    <w:rsid w:val="00F4043B"/>
    <w:rsid w:val="00F408B3"/>
    <w:rsid w:val="00F40915"/>
    <w:rsid w:val="00F40921"/>
    <w:rsid w:val="00F4095F"/>
    <w:rsid w:val="00F40A24"/>
    <w:rsid w:val="00F40EFA"/>
    <w:rsid w:val="00F41133"/>
    <w:rsid w:val="00F41203"/>
    <w:rsid w:val="00F41260"/>
    <w:rsid w:val="00F41320"/>
    <w:rsid w:val="00F41383"/>
    <w:rsid w:val="00F414E2"/>
    <w:rsid w:val="00F4151B"/>
    <w:rsid w:val="00F416E5"/>
    <w:rsid w:val="00F417A8"/>
    <w:rsid w:val="00F417AC"/>
    <w:rsid w:val="00F417AE"/>
    <w:rsid w:val="00F4187B"/>
    <w:rsid w:val="00F4187C"/>
    <w:rsid w:val="00F41895"/>
    <w:rsid w:val="00F4191B"/>
    <w:rsid w:val="00F41ABC"/>
    <w:rsid w:val="00F41ADA"/>
    <w:rsid w:val="00F41B1C"/>
    <w:rsid w:val="00F41D68"/>
    <w:rsid w:val="00F41E2B"/>
    <w:rsid w:val="00F41FA3"/>
    <w:rsid w:val="00F42007"/>
    <w:rsid w:val="00F42177"/>
    <w:rsid w:val="00F42267"/>
    <w:rsid w:val="00F4276E"/>
    <w:rsid w:val="00F427FA"/>
    <w:rsid w:val="00F4280B"/>
    <w:rsid w:val="00F42B0B"/>
    <w:rsid w:val="00F42B2E"/>
    <w:rsid w:val="00F42BAA"/>
    <w:rsid w:val="00F42D0C"/>
    <w:rsid w:val="00F4300B"/>
    <w:rsid w:val="00F431D1"/>
    <w:rsid w:val="00F43267"/>
    <w:rsid w:val="00F432A4"/>
    <w:rsid w:val="00F432D0"/>
    <w:rsid w:val="00F433A5"/>
    <w:rsid w:val="00F433CF"/>
    <w:rsid w:val="00F434A8"/>
    <w:rsid w:val="00F434D0"/>
    <w:rsid w:val="00F4385D"/>
    <w:rsid w:val="00F4399D"/>
    <w:rsid w:val="00F43A0E"/>
    <w:rsid w:val="00F43CD0"/>
    <w:rsid w:val="00F43E17"/>
    <w:rsid w:val="00F43EBD"/>
    <w:rsid w:val="00F44071"/>
    <w:rsid w:val="00F44090"/>
    <w:rsid w:val="00F4437B"/>
    <w:rsid w:val="00F44393"/>
    <w:rsid w:val="00F44800"/>
    <w:rsid w:val="00F44822"/>
    <w:rsid w:val="00F44946"/>
    <w:rsid w:val="00F44D7B"/>
    <w:rsid w:val="00F44EC0"/>
    <w:rsid w:val="00F44ED2"/>
    <w:rsid w:val="00F4508C"/>
    <w:rsid w:val="00F452B7"/>
    <w:rsid w:val="00F45339"/>
    <w:rsid w:val="00F45513"/>
    <w:rsid w:val="00F45529"/>
    <w:rsid w:val="00F45733"/>
    <w:rsid w:val="00F4583F"/>
    <w:rsid w:val="00F45AF8"/>
    <w:rsid w:val="00F45BA4"/>
    <w:rsid w:val="00F45F4F"/>
    <w:rsid w:val="00F46024"/>
    <w:rsid w:val="00F4636B"/>
    <w:rsid w:val="00F4637D"/>
    <w:rsid w:val="00F46A6F"/>
    <w:rsid w:val="00F46AF5"/>
    <w:rsid w:val="00F46C19"/>
    <w:rsid w:val="00F46D1D"/>
    <w:rsid w:val="00F46D45"/>
    <w:rsid w:val="00F46E06"/>
    <w:rsid w:val="00F46E1A"/>
    <w:rsid w:val="00F46EA6"/>
    <w:rsid w:val="00F46FFD"/>
    <w:rsid w:val="00F470ED"/>
    <w:rsid w:val="00F4714D"/>
    <w:rsid w:val="00F47280"/>
    <w:rsid w:val="00F4747C"/>
    <w:rsid w:val="00F4760B"/>
    <w:rsid w:val="00F47812"/>
    <w:rsid w:val="00F478DC"/>
    <w:rsid w:val="00F478FF"/>
    <w:rsid w:val="00F47969"/>
    <w:rsid w:val="00F47995"/>
    <w:rsid w:val="00F47A4C"/>
    <w:rsid w:val="00F47B1F"/>
    <w:rsid w:val="00F47BAF"/>
    <w:rsid w:val="00F47E9F"/>
    <w:rsid w:val="00F47EDC"/>
    <w:rsid w:val="00F50391"/>
    <w:rsid w:val="00F503E3"/>
    <w:rsid w:val="00F504C9"/>
    <w:rsid w:val="00F5050E"/>
    <w:rsid w:val="00F505AE"/>
    <w:rsid w:val="00F509A0"/>
    <w:rsid w:val="00F50B56"/>
    <w:rsid w:val="00F50BD5"/>
    <w:rsid w:val="00F5117C"/>
    <w:rsid w:val="00F5118C"/>
    <w:rsid w:val="00F51283"/>
    <w:rsid w:val="00F514A6"/>
    <w:rsid w:val="00F5165D"/>
    <w:rsid w:val="00F51911"/>
    <w:rsid w:val="00F51A5F"/>
    <w:rsid w:val="00F51D4A"/>
    <w:rsid w:val="00F51EE6"/>
    <w:rsid w:val="00F51F6A"/>
    <w:rsid w:val="00F52496"/>
    <w:rsid w:val="00F5257C"/>
    <w:rsid w:val="00F525FF"/>
    <w:rsid w:val="00F52717"/>
    <w:rsid w:val="00F52B69"/>
    <w:rsid w:val="00F52D13"/>
    <w:rsid w:val="00F52E26"/>
    <w:rsid w:val="00F52E7A"/>
    <w:rsid w:val="00F52F76"/>
    <w:rsid w:val="00F532B8"/>
    <w:rsid w:val="00F53441"/>
    <w:rsid w:val="00F534ED"/>
    <w:rsid w:val="00F5374E"/>
    <w:rsid w:val="00F5386C"/>
    <w:rsid w:val="00F53B89"/>
    <w:rsid w:val="00F53DD3"/>
    <w:rsid w:val="00F53E33"/>
    <w:rsid w:val="00F53E7A"/>
    <w:rsid w:val="00F5419E"/>
    <w:rsid w:val="00F5468C"/>
    <w:rsid w:val="00F54B8C"/>
    <w:rsid w:val="00F54C4C"/>
    <w:rsid w:val="00F54CC6"/>
    <w:rsid w:val="00F54D61"/>
    <w:rsid w:val="00F54F33"/>
    <w:rsid w:val="00F55000"/>
    <w:rsid w:val="00F5509D"/>
    <w:rsid w:val="00F5537A"/>
    <w:rsid w:val="00F557DE"/>
    <w:rsid w:val="00F5597A"/>
    <w:rsid w:val="00F55B7C"/>
    <w:rsid w:val="00F55D90"/>
    <w:rsid w:val="00F55E0F"/>
    <w:rsid w:val="00F55F22"/>
    <w:rsid w:val="00F56018"/>
    <w:rsid w:val="00F56178"/>
    <w:rsid w:val="00F562B9"/>
    <w:rsid w:val="00F563EC"/>
    <w:rsid w:val="00F5660D"/>
    <w:rsid w:val="00F56768"/>
    <w:rsid w:val="00F568BB"/>
    <w:rsid w:val="00F569BF"/>
    <w:rsid w:val="00F56BA0"/>
    <w:rsid w:val="00F56CD1"/>
    <w:rsid w:val="00F56D63"/>
    <w:rsid w:val="00F56FAB"/>
    <w:rsid w:val="00F56FE0"/>
    <w:rsid w:val="00F570A9"/>
    <w:rsid w:val="00F5727F"/>
    <w:rsid w:val="00F574CE"/>
    <w:rsid w:val="00F57535"/>
    <w:rsid w:val="00F5753D"/>
    <w:rsid w:val="00F5778D"/>
    <w:rsid w:val="00F577E6"/>
    <w:rsid w:val="00F577FD"/>
    <w:rsid w:val="00F57D12"/>
    <w:rsid w:val="00F57D2B"/>
    <w:rsid w:val="00F57DAC"/>
    <w:rsid w:val="00F57DB9"/>
    <w:rsid w:val="00F57F0F"/>
    <w:rsid w:val="00F600E8"/>
    <w:rsid w:val="00F601CA"/>
    <w:rsid w:val="00F6026E"/>
    <w:rsid w:val="00F602B5"/>
    <w:rsid w:val="00F605DF"/>
    <w:rsid w:val="00F6064D"/>
    <w:rsid w:val="00F607C8"/>
    <w:rsid w:val="00F60A58"/>
    <w:rsid w:val="00F60AD8"/>
    <w:rsid w:val="00F60C2F"/>
    <w:rsid w:val="00F60C98"/>
    <w:rsid w:val="00F60D2F"/>
    <w:rsid w:val="00F6118F"/>
    <w:rsid w:val="00F611AF"/>
    <w:rsid w:val="00F611B7"/>
    <w:rsid w:val="00F611BC"/>
    <w:rsid w:val="00F61298"/>
    <w:rsid w:val="00F61461"/>
    <w:rsid w:val="00F616E6"/>
    <w:rsid w:val="00F61850"/>
    <w:rsid w:val="00F61916"/>
    <w:rsid w:val="00F61AF2"/>
    <w:rsid w:val="00F61B96"/>
    <w:rsid w:val="00F61C4A"/>
    <w:rsid w:val="00F61C9B"/>
    <w:rsid w:val="00F61DF5"/>
    <w:rsid w:val="00F61FA4"/>
    <w:rsid w:val="00F621E6"/>
    <w:rsid w:val="00F62314"/>
    <w:rsid w:val="00F62396"/>
    <w:rsid w:val="00F62418"/>
    <w:rsid w:val="00F624AC"/>
    <w:rsid w:val="00F62656"/>
    <w:rsid w:val="00F62712"/>
    <w:rsid w:val="00F62750"/>
    <w:rsid w:val="00F627BD"/>
    <w:rsid w:val="00F62865"/>
    <w:rsid w:val="00F62B48"/>
    <w:rsid w:val="00F62B65"/>
    <w:rsid w:val="00F62BB9"/>
    <w:rsid w:val="00F62D27"/>
    <w:rsid w:val="00F62D88"/>
    <w:rsid w:val="00F62E76"/>
    <w:rsid w:val="00F62F53"/>
    <w:rsid w:val="00F630CB"/>
    <w:rsid w:val="00F6322E"/>
    <w:rsid w:val="00F632BC"/>
    <w:rsid w:val="00F632FF"/>
    <w:rsid w:val="00F634C4"/>
    <w:rsid w:val="00F6356E"/>
    <w:rsid w:val="00F635AE"/>
    <w:rsid w:val="00F6378B"/>
    <w:rsid w:val="00F637D7"/>
    <w:rsid w:val="00F638FF"/>
    <w:rsid w:val="00F63AD1"/>
    <w:rsid w:val="00F63AED"/>
    <w:rsid w:val="00F63C06"/>
    <w:rsid w:val="00F63E85"/>
    <w:rsid w:val="00F63F0C"/>
    <w:rsid w:val="00F64136"/>
    <w:rsid w:val="00F645B3"/>
    <w:rsid w:val="00F646AC"/>
    <w:rsid w:val="00F647C6"/>
    <w:rsid w:val="00F648B3"/>
    <w:rsid w:val="00F6494B"/>
    <w:rsid w:val="00F64C3D"/>
    <w:rsid w:val="00F64CD1"/>
    <w:rsid w:val="00F64D45"/>
    <w:rsid w:val="00F64E37"/>
    <w:rsid w:val="00F64E4A"/>
    <w:rsid w:val="00F64ED9"/>
    <w:rsid w:val="00F65271"/>
    <w:rsid w:val="00F6531F"/>
    <w:rsid w:val="00F654F3"/>
    <w:rsid w:val="00F655F5"/>
    <w:rsid w:val="00F6562E"/>
    <w:rsid w:val="00F65659"/>
    <w:rsid w:val="00F6573E"/>
    <w:rsid w:val="00F658CD"/>
    <w:rsid w:val="00F659C5"/>
    <w:rsid w:val="00F659CD"/>
    <w:rsid w:val="00F6605C"/>
    <w:rsid w:val="00F662B4"/>
    <w:rsid w:val="00F662BD"/>
    <w:rsid w:val="00F663CC"/>
    <w:rsid w:val="00F664F7"/>
    <w:rsid w:val="00F66502"/>
    <w:rsid w:val="00F66578"/>
    <w:rsid w:val="00F6660A"/>
    <w:rsid w:val="00F66769"/>
    <w:rsid w:val="00F670A0"/>
    <w:rsid w:val="00F67247"/>
    <w:rsid w:val="00F673F7"/>
    <w:rsid w:val="00F676B2"/>
    <w:rsid w:val="00F6781E"/>
    <w:rsid w:val="00F67865"/>
    <w:rsid w:val="00F67B39"/>
    <w:rsid w:val="00F67ECC"/>
    <w:rsid w:val="00F67F03"/>
    <w:rsid w:val="00F70232"/>
    <w:rsid w:val="00F7024A"/>
    <w:rsid w:val="00F703BD"/>
    <w:rsid w:val="00F70497"/>
    <w:rsid w:val="00F7051A"/>
    <w:rsid w:val="00F705DD"/>
    <w:rsid w:val="00F70877"/>
    <w:rsid w:val="00F70A2A"/>
    <w:rsid w:val="00F70B92"/>
    <w:rsid w:val="00F70BEC"/>
    <w:rsid w:val="00F70D9C"/>
    <w:rsid w:val="00F70EDA"/>
    <w:rsid w:val="00F70F9E"/>
    <w:rsid w:val="00F71015"/>
    <w:rsid w:val="00F710B2"/>
    <w:rsid w:val="00F7121D"/>
    <w:rsid w:val="00F712C3"/>
    <w:rsid w:val="00F712F7"/>
    <w:rsid w:val="00F71313"/>
    <w:rsid w:val="00F71443"/>
    <w:rsid w:val="00F7145A"/>
    <w:rsid w:val="00F71483"/>
    <w:rsid w:val="00F71598"/>
    <w:rsid w:val="00F71729"/>
    <w:rsid w:val="00F718B6"/>
    <w:rsid w:val="00F71C96"/>
    <w:rsid w:val="00F71DB5"/>
    <w:rsid w:val="00F71FCD"/>
    <w:rsid w:val="00F72057"/>
    <w:rsid w:val="00F722BA"/>
    <w:rsid w:val="00F72554"/>
    <w:rsid w:val="00F7256E"/>
    <w:rsid w:val="00F725B0"/>
    <w:rsid w:val="00F7279F"/>
    <w:rsid w:val="00F72AAE"/>
    <w:rsid w:val="00F72B94"/>
    <w:rsid w:val="00F72C60"/>
    <w:rsid w:val="00F72C7B"/>
    <w:rsid w:val="00F72C88"/>
    <w:rsid w:val="00F72CF8"/>
    <w:rsid w:val="00F72D2E"/>
    <w:rsid w:val="00F72D3F"/>
    <w:rsid w:val="00F73047"/>
    <w:rsid w:val="00F732D6"/>
    <w:rsid w:val="00F733ED"/>
    <w:rsid w:val="00F73557"/>
    <w:rsid w:val="00F73810"/>
    <w:rsid w:val="00F73937"/>
    <w:rsid w:val="00F73CFC"/>
    <w:rsid w:val="00F73DD2"/>
    <w:rsid w:val="00F73EDC"/>
    <w:rsid w:val="00F73FA3"/>
    <w:rsid w:val="00F74671"/>
    <w:rsid w:val="00F749EE"/>
    <w:rsid w:val="00F74A98"/>
    <w:rsid w:val="00F74B47"/>
    <w:rsid w:val="00F74D17"/>
    <w:rsid w:val="00F74D9E"/>
    <w:rsid w:val="00F74DF0"/>
    <w:rsid w:val="00F74E31"/>
    <w:rsid w:val="00F75036"/>
    <w:rsid w:val="00F7543C"/>
    <w:rsid w:val="00F75464"/>
    <w:rsid w:val="00F7551A"/>
    <w:rsid w:val="00F7589D"/>
    <w:rsid w:val="00F75946"/>
    <w:rsid w:val="00F75A01"/>
    <w:rsid w:val="00F75A15"/>
    <w:rsid w:val="00F75AEA"/>
    <w:rsid w:val="00F75B61"/>
    <w:rsid w:val="00F75F24"/>
    <w:rsid w:val="00F7627C"/>
    <w:rsid w:val="00F763F7"/>
    <w:rsid w:val="00F767A9"/>
    <w:rsid w:val="00F7680A"/>
    <w:rsid w:val="00F769D7"/>
    <w:rsid w:val="00F76DE4"/>
    <w:rsid w:val="00F76E8A"/>
    <w:rsid w:val="00F76F31"/>
    <w:rsid w:val="00F77387"/>
    <w:rsid w:val="00F7749A"/>
    <w:rsid w:val="00F77501"/>
    <w:rsid w:val="00F777A0"/>
    <w:rsid w:val="00F77842"/>
    <w:rsid w:val="00F7798A"/>
    <w:rsid w:val="00F80058"/>
    <w:rsid w:val="00F8033B"/>
    <w:rsid w:val="00F803FF"/>
    <w:rsid w:val="00F80507"/>
    <w:rsid w:val="00F80A41"/>
    <w:rsid w:val="00F80A8C"/>
    <w:rsid w:val="00F80B1F"/>
    <w:rsid w:val="00F80BB0"/>
    <w:rsid w:val="00F80CD0"/>
    <w:rsid w:val="00F80D79"/>
    <w:rsid w:val="00F80E9D"/>
    <w:rsid w:val="00F80F96"/>
    <w:rsid w:val="00F810D8"/>
    <w:rsid w:val="00F811DC"/>
    <w:rsid w:val="00F81578"/>
    <w:rsid w:val="00F81721"/>
    <w:rsid w:val="00F817BC"/>
    <w:rsid w:val="00F81967"/>
    <w:rsid w:val="00F819F0"/>
    <w:rsid w:val="00F81A67"/>
    <w:rsid w:val="00F81D6A"/>
    <w:rsid w:val="00F81FA4"/>
    <w:rsid w:val="00F82008"/>
    <w:rsid w:val="00F82123"/>
    <w:rsid w:val="00F825B3"/>
    <w:rsid w:val="00F8266B"/>
    <w:rsid w:val="00F826F2"/>
    <w:rsid w:val="00F828BD"/>
    <w:rsid w:val="00F829C4"/>
    <w:rsid w:val="00F82B41"/>
    <w:rsid w:val="00F82F98"/>
    <w:rsid w:val="00F83157"/>
    <w:rsid w:val="00F83575"/>
    <w:rsid w:val="00F837E5"/>
    <w:rsid w:val="00F83D9F"/>
    <w:rsid w:val="00F83E8D"/>
    <w:rsid w:val="00F83F5C"/>
    <w:rsid w:val="00F8404C"/>
    <w:rsid w:val="00F840AA"/>
    <w:rsid w:val="00F840B1"/>
    <w:rsid w:val="00F8414E"/>
    <w:rsid w:val="00F84364"/>
    <w:rsid w:val="00F84398"/>
    <w:rsid w:val="00F843C9"/>
    <w:rsid w:val="00F844B2"/>
    <w:rsid w:val="00F84557"/>
    <w:rsid w:val="00F84758"/>
    <w:rsid w:val="00F84B1D"/>
    <w:rsid w:val="00F84E8B"/>
    <w:rsid w:val="00F84EA8"/>
    <w:rsid w:val="00F84FC4"/>
    <w:rsid w:val="00F85217"/>
    <w:rsid w:val="00F8523D"/>
    <w:rsid w:val="00F85301"/>
    <w:rsid w:val="00F8545D"/>
    <w:rsid w:val="00F85638"/>
    <w:rsid w:val="00F85645"/>
    <w:rsid w:val="00F8583D"/>
    <w:rsid w:val="00F8597A"/>
    <w:rsid w:val="00F85ADA"/>
    <w:rsid w:val="00F85BE1"/>
    <w:rsid w:val="00F85FE0"/>
    <w:rsid w:val="00F860F2"/>
    <w:rsid w:val="00F86155"/>
    <w:rsid w:val="00F864D2"/>
    <w:rsid w:val="00F864D4"/>
    <w:rsid w:val="00F8654E"/>
    <w:rsid w:val="00F86831"/>
    <w:rsid w:val="00F869A0"/>
    <w:rsid w:val="00F86B89"/>
    <w:rsid w:val="00F86D0A"/>
    <w:rsid w:val="00F86D27"/>
    <w:rsid w:val="00F86D5D"/>
    <w:rsid w:val="00F86DBE"/>
    <w:rsid w:val="00F86E35"/>
    <w:rsid w:val="00F86ECC"/>
    <w:rsid w:val="00F86F07"/>
    <w:rsid w:val="00F87086"/>
    <w:rsid w:val="00F87336"/>
    <w:rsid w:val="00F87548"/>
    <w:rsid w:val="00F875C9"/>
    <w:rsid w:val="00F875FD"/>
    <w:rsid w:val="00F87618"/>
    <w:rsid w:val="00F876C8"/>
    <w:rsid w:val="00F8771A"/>
    <w:rsid w:val="00F87755"/>
    <w:rsid w:val="00F877F5"/>
    <w:rsid w:val="00F8796F"/>
    <w:rsid w:val="00F879BA"/>
    <w:rsid w:val="00F87ADC"/>
    <w:rsid w:val="00F87B82"/>
    <w:rsid w:val="00F87B8F"/>
    <w:rsid w:val="00F87C1B"/>
    <w:rsid w:val="00F87EF4"/>
    <w:rsid w:val="00F90293"/>
    <w:rsid w:val="00F902AA"/>
    <w:rsid w:val="00F906DC"/>
    <w:rsid w:val="00F9082E"/>
    <w:rsid w:val="00F908D8"/>
    <w:rsid w:val="00F90CE7"/>
    <w:rsid w:val="00F91059"/>
    <w:rsid w:val="00F910AD"/>
    <w:rsid w:val="00F91637"/>
    <w:rsid w:val="00F91735"/>
    <w:rsid w:val="00F9177B"/>
    <w:rsid w:val="00F9179D"/>
    <w:rsid w:val="00F917C5"/>
    <w:rsid w:val="00F91A25"/>
    <w:rsid w:val="00F91BAA"/>
    <w:rsid w:val="00F91C3C"/>
    <w:rsid w:val="00F91E24"/>
    <w:rsid w:val="00F91E3F"/>
    <w:rsid w:val="00F920FA"/>
    <w:rsid w:val="00F92152"/>
    <w:rsid w:val="00F9256D"/>
    <w:rsid w:val="00F9261E"/>
    <w:rsid w:val="00F9278E"/>
    <w:rsid w:val="00F9279D"/>
    <w:rsid w:val="00F927EF"/>
    <w:rsid w:val="00F9297E"/>
    <w:rsid w:val="00F929EA"/>
    <w:rsid w:val="00F92B0A"/>
    <w:rsid w:val="00F92CDA"/>
    <w:rsid w:val="00F92D53"/>
    <w:rsid w:val="00F92F42"/>
    <w:rsid w:val="00F93402"/>
    <w:rsid w:val="00F934B4"/>
    <w:rsid w:val="00F93845"/>
    <w:rsid w:val="00F93942"/>
    <w:rsid w:val="00F93AAC"/>
    <w:rsid w:val="00F93DBA"/>
    <w:rsid w:val="00F93DEB"/>
    <w:rsid w:val="00F93E44"/>
    <w:rsid w:val="00F93E4A"/>
    <w:rsid w:val="00F93FBE"/>
    <w:rsid w:val="00F940C1"/>
    <w:rsid w:val="00F94225"/>
    <w:rsid w:val="00F9428B"/>
    <w:rsid w:val="00F94397"/>
    <w:rsid w:val="00F943A8"/>
    <w:rsid w:val="00F94510"/>
    <w:rsid w:val="00F945C0"/>
    <w:rsid w:val="00F948FD"/>
    <w:rsid w:val="00F94C51"/>
    <w:rsid w:val="00F94C6B"/>
    <w:rsid w:val="00F94CB3"/>
    <w:rsid w:val="00F94D00"/>
    <w:rsid w:val="00F94EA4"/>
    <w:rsid w:val="00F9509C"/>
    <w:rsid w:val="00F9520D"/>
    <w:rsid w:val="00F95243"/>
    <w:rsid w:val="00F95367"/>
    <w:rsid w:val="00F95756"/>
    <w:rsid w:val="00F957B6"/>
    <w:rsid w:val="00F958CA"/>
    <w:rsid w:val="00F95952"/>
    <w:rsid w:val="00F95A37"/>
    <w:rsid w:val="00F95C58"/>
    <w:rsid w:val="00F95CBA"/>
    <w:rsid w:val="00F95D6C"/>
    <w:rsid w:val="00F95E1C"/>
    <w:rsid w:val="00F95EC4"/>
    <w:rsid w:val="00F9619D"/>
    <w:rsid w:val="00F9621A"/>
    <w:rsid w:val="00F964E8"/>
    <w:rsid w:val="00F96781"/>
    <w:rsid w:val="00F96852"/>
    <w:rsid w:val="00F96881"/>
    <w:rsid w:val="00F96AF2"/>
    <w:rsid w:val="00F96DF8"/>
    <w:rsid w:val="00F96EF6"/>
    <w:rsid w:val="00F97016"/>
    <w:rsid w:val="00F97031"/>
    <w:rsid w:val="00F97138"/>
    <w:rsid w:val="00F9730C"/>
    <w:rsid w:val="00F97525"/>
    <w:rsid w:val="00F97672"/>
    <w:rsid w:val="00F977AD"/>
    <w:rsid w:val="00F977FF"/>
    <w:rsid w:val="00F9784E"/>
    <w:rsid w:val="00F978A9"/>
    <w:rsid w:val="00F97AC5"/>
    <w:rsid w:val="00F97C58"/>
    <w:rsid w:val="00F97D51"/>
    <w:rsid w:val="00F97E71"/>
    <w:rsid w:val="00F97F08"/>
    <w:rsid w:val="00F97F82"/>
    <w:rsid w:val="00FA009A"/>
    <w:rsid w:val="00FA0127"/>
    <w:rsid w:val="00FA01BF"/>
    <w:rsid w:val="00FA02A8"/>
    <w:rsid w:val="00FA0348"/>
    <w:rsid w:val="00FA03BA"/>
    <w:rsid w:val="00FA05E2"/>
    <w:rsid w:val="00FA0669"/>
    <w:rsid w:val="00FA083B"/>
    <w:rsid w:val="00FA0875"/>
    <w:rsid w:val="00FA0A32"/>
    <w:rsid w:val="00FA0A43"/>
    <w:rsid w:val="00FA0EC7"/>
    <w:rsid w:val="00FA0F65"/>
    <w:rsid w:val="00FA101C"/>
    <w:rsid w:val="00FA15C5"/>
    <w:rsid w:val="00FA16EA"/>
    <w:rsid w:val="00FA18A0"/>
    <w:rsid w:val="00FA198E"/>
    <w:rsid w:val="00FA1A36"/>
    <w:rsid w:val="00FA1AE7"/>
    <w:rsid w:val="00FA1C26"/>
    <w:rsid w:val="00FA1D32"/>
    <w:rsid w:val="00FA21AD"/>
    <w:rsid w:val="00FA246D"/>
    <w:rsid w:val="00FA24E9"/>
    <w:rsid w:val="00FA2571"/>
    <w:rsid w:val="00FA27CF"/>
    <w:rsid w:val="00FA29FE"/>
    <w:rsid w:val="00FA2BFC"/>
    <w:rsid w:val="00FA2D20"/>
    <w:rsid w:val="00FA2D33"/>
    <w:rsid w:val="00FA2EB0"/>
    <w:rsid w:val="00FA2F59"/>
    <w:rsid w:val="00FA3041"/>
    <w:rsid w:val="00FA3066"/>
    <w:rsid w:val="00FA30EB"/>
    <w:rsid w:val="00FA32B6"/>
    <w:rsid w:val="00FA3473"/>
    <w:rsid w:val="00FA3532"/>
    <w:rsid w:val="00FA358C"/>
    <w:rsid w:val="00FA3645"/>
    <w:rsid w:val="00FA36F1"/>
    <w:rsid w:val="00FA3721"/>
    <w:rsid w:val="00FA39C9"/>
    <w:rsid w:val="00FA3A39"/>
    <w:rsid w:val="00FA3D8E"/>
    <w:rsid w:val="00FA3DC3"/>
    <w:rsid w:val="00FA3EB9"/>
    <w:rsid w:val="00FA3F00"/>
    <w:rsid w:val="00FA44B1"/>
    <w:rsid w:val="00FA44E9"/>
    <w:rsid w:val="00FA46EE"/>
    <w:rsid w:val="00FA4716"/>
    <w:rsid w:val="00FA4749"/>
    <w:rsid w:val="00FA4751"/>
    <w:rsid w:val="00FA4921"/>
    <w:rsid w:val="00FA4A0E"/>
    <w:rsid w:val="00FA4AF9"/>
    <w:rsid w:val="00FA4BE7"/>
    <w:rsid w:val="00FA4C3F"/>
    <w:rsid w:val="00FA4D54"/>
    <w:rsid w:val="00FA4E10"/>
    <w:rsid w:val="00FA4E52"/>
    <w:rsid w:val="00FA4EBC"/>
    <w:rsid w:val="00FA50EC"/>
    <w:rsid w:val="00FA5310"/>
    <w:rsid w:val="00FA53DF"/>
    <w:rsid w:val="00FA5B72"/>
    <w:rsid w:val="00FA5B84"/>
    <w:rsid w:val="00FA5DDC"/>
    <w:rsid w:val="00FA5EE2"/>
    <w:rsid w:val="00FA607F"/>
    <w:rsid w:val="00FA60F4"/>
    <w:rsid w:val="00FA61F8"/>
    <w:rsid w:val="00FA62B0"/>
    <w:rsid w:val="00FA6330"/>
    <w:rsid w:val="00FA64C9"/>
    <w:rsid w:val="00FA65EB"/>
    <w:rsid w:val="00FA6AFD"/>
    <w:rsid w:val="00FA6B6F"/>
    <w:rsid w:val="00FA6CA2"/>
    <w:rsid w:val="00FA6D2E"/>
    <w:rsid w:val="00FA6E20"/>
    <w:rsid w:val="00FA6E30"/>
    <w:rsid w:val="00FA70B0"/>
    <w:rsid w:val="00FA7244"/>
    <w:rsid w:val="00FA7335"/>
    <w:rsid w:val="00FA754C"/>
    <w:rsid w:val="00FA7579"/>
    <w:rsid w:val="00FA7628"/>
    <w:rsid w:val="00FA7733"/>
    <w:rsid w:val="00FA78EA"/>
    <w:rsid w:val="00FA78FD"/>
    <w:rsid w:val="00FA792A"/>
    <w:rsid w:val="00FA7BAB"/>
    <w:rsid w:val="00FA7BFE"/>
    <w:rsid w:val="00FA7CFD"/>
    <w:rsid w:val="00FA7FB9"/>
    <w:rsid w:val="00FB0131"/>
    <w:rsid w:val="00FB0157"/>
    <w:rsid w:val="00FB021D"/>
    <w:rsid w:val="00FB024F"/>
    <w:rsid w:val="00FB0343"/>
    <w:rsid w:val="00FB039F"/>
    <w:rsid w:val="00FB0432"/>
    <w:rsid w:val="00FB054F"/>
    <w:rsid w:val="00FB0643"/>
    <w:rsid w:val="00FB067F"/>
    <w:rsid w:val="00FB07CF"/>
    <w:rsid w:val="00FB094F"/>
    <w:rsid w:val="00FB0A2C"/>
    <w:rsid w:val="00FB0A56"/>
    <w:rsid w:val="00FB0B89"/>
    <w:rsid w:val="00FB0C8D"/>
    <w:rsid w:val="00FB0D8E"/>
    <w:rsid w:val="00FB0E3A"/>
    <w:rsid w:val="00FB0F79"/>
    <w:rsid w:val="00FB1020"/>
    <w:rsid w:val="00FB112E"/>
    <w:rsid w:val="00FB1424"/>
    <w:rsid w:val="00FB1A05"/>
    <w:rsid w:val="00FB1C7A"/>
    <w:rsid w:val="00FB1D2B"/>
    <w:rsid w:val="00FB2016"/>
    <w:rsid w:val="00FB2027"/>
    <w:rsid w:val="00FB214E"/>
    <w:rsid w:val="00FB2198"/>
    <w:rsid w:val="00FB230A"/>
    <w:rsid w:val="00FB2373"/>
    <w:rsid w:val="00FB23DA"/>
    <w:rsid w:val="00FB255B"/>
    <w:rsid w:val="00FB2709"/>
    <w:rsid w:val="00FB279D"/>
    <w:rsid w:val="00FB27B2"/>
    <w:rsid w:val="00FB2960"/>
    <w:rsid w:val="00FB2965"/>
    <w:rsid w:val="00FB2B65"/>
    <w:rsid w:val="00FB2CA6"/>
    <w:rsid w:val="00FB2EB9"/>
    <w:rsid w:val="00FB2F5C"/>
    <w:rsid w:val="00FB30F4"/>
    <w:rsid w:val="00FB32D6"/>
    <w:rsid w:val="00FB3424"/>
    <w:rsid w:val="00FB36C8"/>
    <w:rsid w:val="00FB3711"/>
    <w:rsid w:val="00FB37A7"/>
    <w:rsid w:val="00FB3871"/>
    <w:rsid w:val="00FB3930"/>
    <w:rsid w:val="00FB3AD5"/>
    <w:rsid w:val="00FB3BBC"/>
    <w:rsid w:val="00FB3FEF"/>
    <w:rsid w:val="00FB448F"/>
    <w:rsid w:val="00FB484B"/>
    <w:rsid w:val="00FB4953"/>
    <w:rsid w:val="00FB49B9"/>
    <w:rsid w:val="00FB49EA"/>
    <w:rsid w:val="00FB4F0D"/>
    <w:rsid w:val="00FB4FE8"/>
    <w:rsid w:val="00FB5003"/>
    <w:rsid w:val="00FB516A"/>
    <w:rsid w:val="00FB52D0"/>
    <w:rsid w:val="00FB5364"/>
    <w:rsid w:val="00FB57B1"/>
    <w:rsid w:val="00FB588A"/>
    <w:rsid w:val="00FB5BB7"/>
    <w:rsid w:val="00FB5E03"/>
    <w:rsid w:val="00FB613F"/>
    <w:rsid w:val="00FB61F5"/>
    <w:rsid w:val="00FB6382"/>
    <w:rsid w:val="00FB6543"/>
    <w:rsid w:val="00FB67D3"/>
    <w:rsid w:val="00FB67DF"/>
    <w:rsid w:val="00FB682B"/>
    <w:rsid w:val="00FB6B08"/>
    <w:rsid w:val="00FB6C98"/>
    <w:rsid w:val="00FB6D0A"/>
    <w:rsid w:val="00FB6D74"/>
    <w:rsid w:val="00FB72AA"/>
    <w:rsid w:val="00FB73E3"/>
    <w:rsid w:val="00FB74FC"/>
    <w:rsid w:val="00FB76C3"/>
    <w:rsid w:val="00FB7809"/>
    <w:rsid w:val="00FB7A5E"/>
    <w:rsid w:val="00FB7C43"/>
    <w:rsid w:val="00FB7EBF"/>
    <w:rsid w:val="00FC0022"/>
    <w:rsid w:val="00FC00F0"/>
    <w:rsid w:val="00FC0192"/>
    <w:rsid w:val="00FC0313"/>
    <w:rsid w:val="00FC0334"/>
    <w:rsid w:val="00FC0397"/>
    <w:rsid w:val="00FC0400"/>
    <w:rsid w:val="00FC06A4"/>
    <w:rsid w:val="00FC072C"/>
    <w:rsid w:val="00FC0844"/>
    <w:rsid w:val="00FC09B3"/>
    <w:rsid w:val="00FC0B11"/>
    <w:rsid w:val="00FC0EAA"/>
    <w:rsid w:val="00FC0EFC"/>
    <w:rsid w:val="00FC1343"/>
    <w:rsid w:val="00FC1435"/>
    <w:rsid w:val="00FC148F"/>
    <w:rsid w:val="00FC149F"/>
    <w:rsid w:val="00FC1525"/>
    <w:rsid w:val="00FC1555"/>
    <w:rsid w:val="00FC1846"/>
    <w:rsid w:val="00FC184E"/>
    <w:rsid w:val="00FC1898"/>
    <w:rsid w:val="00FC18DD"/>
    <w:rsid w:val="00FC1B55"/>
    <w:rsid w:val="00FC1E4F"/>
    <w:rsid w:val="00FC201E"/>
    <w:rsid w:val="00FC20EA"/>
    <w:rsid w:val="00FC2193"/>
    <w:rsid w:val="00FC22C2"/>
    <w:rsid w:val="00FC232C"/>
    <w:rsid w:val="00FC2415"/>
    <w:rsid w:val="00FC2A30"/>
    <w:rsid w:val="00FC2A34"/>
    <w:rsid w:val="00FC2A86"/>
    <w:rsid w:val="00FC2BC5"/>
    <w:rsid w:val="00FC2D3C"/>
    <w:rsid w:val="00FC2E16"/>
    <w:rsid w:val="00FC2E35"/>
    <w:rsid w:val="00FC2F3E"/>
    <w:rsid w:val="00FC2F8D"/>
    <w:rsid w:val="00FC300D"/>
    <w:rsid w:val="00FC3183"/>
    <w:rsid w:val="00FC31DD"/>
    <w:rsid w:val="00FC3489"/>
    <w:rsid w:val="00FC3494"/>
    <w:rsid w:val="00FC34AA"/>
    <w:rsid w:val="00FC34AC"/>
    <w:rsid w:val="00FC35AB"/>
    <w:rsid w:val="00FC39D4"/>
    <w:rsid w:val="00FC3B5C"/>
    <w:rsid w:val="00FC4017"/>
    <w:rsid w:val="00FC404B"/>
    <w:rsid w:val="00FC4251"/>
    <w:rsid w:val="00FC4388"/>
    <w:rsid w:val="00FC478E"/>
    <w:rsid w:val="00FC485F"/>
    <w:rsid w:val="00FC4C17"/>
    <w:rsid w:val="00FC4C35"/>
    <w:rsid w:val="00FC4C4F"/>
    <w:rsid w:val="00FC4C52"/>
    <w:rsid w:val="00FC4CAB"/>
    <w:rsid w:val="00FC4CE8"/>
    <w:rsid w:val="00FC4D63"/>
    <w:rsid w:val="00FC4E5B"/>
    <w:rsid w:val="00FC505A"/>
    <w:rsid w:val="00FC5100"/>
    <w:rsid w:val="00FC5197"/>
    <w:rsid w:val="00FC521E"/>
    <w:rsid w:val="00FC527D"/>
    <w:rsid w:val="00FC528F"/>
    <w:rsid w:val="00FC5327"/>
    <w:rsid w:val="00FC5521"/>
    <w:rsid w:val="00FC570A"/>
    <w:rsid w:val="00FC598B"/>
    <w:rsid w:val="00FC5AF0"/>
    <w:rsid w:val="00FC5B9B"/>
    <w:rsid w:val="00FC5DA7"/>
    <w:rsid w:val="00FC5FE4"/>
    <w:rsid w:val="00FC601A"/>
    <w:rsid w:val="00FC6133"/>
    <w:rsid w:val="00FC6247"/>
    <w:rsid w:val="00FC630B"/>
    <w:rsid w:val="00FC63C1"/>
    <w:rsid w:val="00FC63E6"/>
    <w:rsid w:val="00FC66C0"/>
    <w:rsid w:val="00FC67EF"/>
    <w:rsid w:val="00FC6851"/>
    <w:rsid w:val="00FC6ABF"/>
    <w:rsid w:val="00FC6CCA"/>
    <w:rsid w:val="00FC6F7A"/>
    <w:rsid w:val="00FC6FF4"/>
    <w:rsid w:val="00FC706D"/>
    <w:rsid w:val="00FC716A"/>
    <w:rsid w:val="00FC71B3"/>
    <w:rsid w:val="00FC7319"/>
    <w:rsid w:val="00FC734E"/>
    <w:rsid w:val="00FC7464"/>
    <w:rsid w:val="00FC7560"/>
    <w:rsid w:val="00FC76A5"/>
    <w:rsid w:val="00FC7802"/>
    <w:rsid w:val="00FC78FF"/>
    <w:rsid w:val="00FC7C66"/>
    <w:rsid w:val="00FC7C93"/>
    <w:rsid w:val="00FC7D93"/>
    <w:rsid w:val="00FD0216"/>
    <w:rsid w:val="00FD021B"/>
    <w:rsid w:val="00FD036B"/>
    <w:rsid w:val="00FD0648"/>
    <w:rsid w:val="00FD073B"/>
    <w:rsid w:val="00FD09BC"/>
    <w:rsid w:val="00FD0BFE"/>
    <w:rsid w:val="00FD0EEE"/>
    <w:rsid w:val="00FD0F8D"/>
    <w:rsid w:val="00FD11AA"/>
    <w:rsid w:val="00FD120C"/>
    <w:rsid w:val="00FD12DF"/>
    <w:rsid w:val="00FD17D6"/>
    <w:rsid w:val="00FD1866"/>
    <w:rsid w:val="00FD1871"/>
    <w:rsid w:val="00FD18A0"/>
    <w:rsid w:val="00FD1931"/>
    <w:rsid w:val="00FD1A01"/>
    <w:rsid w:val="00FD1AF1"/>
    <w:rsid w:val="00FD1E32"/>
    <w:rsid w:val="00FD1E6F"/>
    <w:rsid w:val="00FD209B"/>
    <w:rsid w:val="00FD20EE"/>
    <w:rsid w:val="00FD2212"/>
    <w:rsid w:val="00FD2268"/>
    <w:rsid w:val="00FD23E3"/>
    <w:rsid w:val="00FD24B5"/>
    <w:rsid w:val="00FD252B"/>
    <w:rsid w:val="00FD253C"/>
    <w:rsid w:val="00FD259E"/>
    <w:rsid w:val="00FD27CA"/>
    <w:rsid w:val="00FD285A"/>
    <w:rsid w:val="00FD297B"/>
    <w:rsid w:val="00FD2F4D"/>
    <w:rsid w:val="00FD3111"/>
    <w:rsid w:val="00FD322B"/>
    <w:rsid w:val="00FD3303"/>
    <w:rsid w:val="00FD3343"/>
    <w:rsid w:val="00FD39F8"/>
    <w:rsid w:val="00FD3A78"/>
    <w:rsid w:val="00FD3BD3"/>
    <w:rsid w:val="00FD3BD8"/>
    <w:rsid w:val="00FD3F4D"/>
    <w:rsid w:val="00FD4115"/>
    <w:rsid w:val="00FD4117"/>
    <w:rsid w:val="00FD4127"/>
    <w:rsid w:val="00FD41A6"/>
    <w:rsid w:val="00FD424A"/>
    <w:rsid w:val="00FD4387"/>
    <w:rsid w:val="00FD4404"/>
    <w:rsid w:val="00FD45D2"/>
    <w:rsid w:val="00FD48D7"/>
    <w:rsid w:val="00FD4A01"/>
    <w:rsid w:val="00FD4A32"/>
    <w:rsid w:val="00FD4E4F"/>
    <w:rsid w:val="00FD4F92"/>
    <w:rsid w:val="00FD500A"/>
    <w:rsid w:val="00FD549D"/>
    <w:rsid w:val="00FD5A23"/>
    <w:rsid w:val="00FD5B96"/>
    <w:rsid w:val="00FD5D49"/>
    <w:rsid w:val="00FD6187"/>
    <w:rsid w:val="00FD6189"/>
    <w:rsid w:val="00FD62FF"/>
    <w:rsid w:val="00FD634A"/>
    <w:rsid w:val="00FD65DC"/>
    <w:rsid w:val="00FD66BD"/>
    <w:rsid w:val="00FD68F5"/>
    <w:rsid w:val="00FD6A85"/>
    <w:rsid w:val="00FD6B23"/>
    <w:rsid w:val="00FD6CAD"/>
    <w:rsid w:val="00FD6CAE"/>
    <w:rsid w:val="00FD6D4B"/>
    <w:rsid w:val="00FD74BC"/>
    <w:rsid w:val="00FD7684"/>
    <w:rsid w:val="00FD76B5"/>
    <w:rsid w:val="00FD797F"/>
    <w:rsid w:val="00FD7B0A"/>
    <w:rsid w:val="00FD7DC2"/>
    <w:rsid w:val="00FE0081"/>
    <w:rsid w:val="00FE01ED"/>
    <w:rsid w:val="00FE02FD"/>
    <w:rsid w:val="00FE0308"/>
    <w:rsid w:val="00FE03BE"/>
    <w:rsid w:val="00FE0492"/>
    <w:rsid w:val="00FE06FE"/>
    <w:rsid w:val="00FE0B3C"/>
    <w:rsid w:val="00FE0E24"/>
    <w:rsid w:val="00FE0F1D"/>
    <w:rsid w:val="00FE0F4A"/>
    <w:rsid w:val="00FE10ED"/>
    <w:rsid w:val="00FE1113"/>
    <w:rsid w:val="00FE117C"/>
    <w:rsid w:val="00FE11C8"/>
    <w:rsid w:val="00FE125C"/>
    <w:rsid w:val="00FE1466"/>
    <w:rsid w:val="00FE14FC"/>
    <w:rsid w:val="00FE1669"/>
    <w:rsid w:val="00FE1720"/>
    <w:rsid w:val="00FE1835"/>
    <w:rsid w:val="00FE1844"/>
    <w:rsid w:val="00FE1C88"/>
    <w:rsid w:val="00FE1CA3"/>
    <w:rsid w:val="00FE1CEF"/>
    <w:rsid w:val="00FE1D7A"/>
    <w:rsid w:val="00FE1DB6"/>
    <w:rsid w:val="00FE1DD6"/>
    <w:rsid w:val="00FE1FD8"/>
    <w:rsid w:val="00FE218C"/>
    <w:rsid w:val="00FE23D8"/>
    <w:rsid w:val="00FE257F"/>
    <w:rsid w:val="00FE26F9"/>
    <w:rsid w:val="00FE2729"/>
    <w:rsid w:val="00FE2831"/>
    <w:rsid w:val="00FE28CB"/>
    <w:rsid w:val="00FE28F0"/>
    <w:rsid w:val="00FE2921"/>
    <w:rsid w:val="00FE29D4"/>
    <w:rsid w:val="00FE2D1B"/>
    <w:rsid w:val="00FE2D2E"/>
    <w:rsid w:val="00FE2EA3"/>
    <w:rsid w:val="00FE32B4"/>
    <w:rsid w:val="00FE3353"/>
    <w:rsid w:val="00FE33E2"/>
    <w:rsid w:val="00FE35DB"/>
    <w:rsid w:val="00FE3A1B"/>
    <w:rsid w:val="00FE3A6A"/>
    <w:rsid w:val="00FE3D28"/>
    <w:rsid w:val="00FE3F31"/>
    <w:rsid w:val="00FE422E"/>
    <w:rsid w:val="00FE4421"/>
    <w:rsid w:val="00FE46C5"/>
    <w:rsid w:val="00FE46E1"/>
    <w:rsid w:val="00FE4725"/>
    <w:rsid w:val="00FE480A"/>
    <w:rsid w:val="00FE49A2"/>
    <w:rsid w:val="00FE4C75"/>
    <w:rsid w:val="00FE4D5B"/>
    <w:rsid w:val="00FE4DAC"/>
    <w:rsid w:val="00FE4DD6"/>
    <w:rsid w:val="00FE50DE"/>
    <w:rsid w:val="00FE5214"/>
    <w:rsid w:val="00FE584E"/>
    <w:rsid w:val="00FE5948"/>
    <w:rsid w:val="00FE59FD"/>
    <w:rsid w:val="00FE5A8F"/>
    <w:rsid w:val="00FE5AC5"/>
    <w:rsid w:val="00FE5B08"/>
    <w:rsid w:val="00FE5BCE"/>
    <w:rsid w:val="00FE5C19"/>
    <w:rsid w:val="00FE5C32"/>
    <w:rsid w:val="00FE5CEE"/>
    <w:rsid w:val="00FE5F10"/>
    <w:rsid w:val="00FE6033"/>
    <w:rsid w:val="00FE65CF"/>
    <w:rsid w:val="00FE67DB"/>
    <w:rsid w:val="00FE6961"/>
    <w:rsid w:val="00FE69CF"/>
    <w:rsid w:val="00FE6F05"/>
    <w:rsid w:val="00FE6FE5"/>
    <w:rsid w:val="00FE7380"/>
    <w:rsid w:val="00FE7551"/>
    <w:rsid w:val="00FE762A"/>
    <w:rsid w:val="00FE76F3"/>
    <w:rsid w:val="00FE7C86"/>
    <w:rsid w:val="00FE7D33"/>
    <w:rsid w:val="00FE7D9C"/>
    <w:rsid w:val="00FE7DA3"/>
    <w:rsid w:val="00FE7EDD"/>
    <w:rsid w:val="00FF04F6"/>
    <w:rsid w:val="00FF0692"/>
    <w:rsid w:val="00FF06A1"/>
    <w:rsid w:val="00FF06B5"/>
    <w:rsid w:val="00FF0730"/>
    <w:rsid w:val="00FF0745"/>
    <w:rsid w:val="00FF0CC6"/>
    <w:rsid w:val="00FF0E54"/>
    <w:rsid w:val="00FF0E72"/>
    <w:rsid w:val="00FF0EE1"/>
    <w:rsid w:val="00FF1175"/>
    <w:rsid w:val="00FF1579"/>
    <w:rsid w:val="00FF178A"/>
    <w:rsid w:val="00FF17E4"/>
    <w:rsid w:val="00FF17FD"/>
    <w:rsid w:val="00FF18B9"/>
    <w:rsid w:val="00FF1A21"/>
    <w:rsid w:val="00FF1C99"/>
    <w:rsid w:val="00FF1EBE"/>
    <w:rsid w:val="00FF2256"/>
    <w:rsid w:val="00FF2383"/>
    <w:rsid w:val="00FF2635"/>
    <w:rsid w:val="00FF269F"/>
    <w:rsid w:val="00FF26B1"/>
    <w:rsid w:val="00FF277F"/>
    <w:rsid w:val="00FF2815"/>
    <w:rsid w:val="00FF287F"/>
    <w:rsid w:val="00FF2AC0"/>
    <w:rsid w:val="00FF2B71"/>
    <w:rsid w:val="00FF2E41"/>
    <w:rsid w:val="00FF2E9D"/>
    <w:rsid w:val="00FF2FFB"/>
    <w:rsid w:val="00FF30DC"/>
    <w:rsid w:val="00FF3284"/>
    <w:rsid w:val="00FF33B6"/>
    <w:rsid w:val="00FF34D1"/>
    <w:rsid w:val="00FF34F5"/>
    <w:rsid w:val="00FF3549"/>
    <w:rsid w:val="00FF3832"/>
    <w:rsid w:val="00FF3D7C"/>
    <w:rsid w:val="00FF3DE9"/>
    <w:rsid w:val="00FF3DF1"/>
    <w:rsid w:val="00FF3F3A"/>
    <w:rsid w:val="00FF4090"/>
    <w:rsid w:val="00FF4451"/>
    <w:rsid w:val="00FF446F"/>
    <w:rsid w:val="00FF4570"/>
    <w:rsid w:val="00FF45A3"/>
    <w:rsid w:val="00FF465D"/>
    <w:rsid w:val="00FF4717"/>
    <w:rsid w:val="00FF493C"/>
    <w:rsid w:val="00FF4CDD"/>
    <w:rsid w:val="00FF4D5F"/>
    <w:rsid w:val="00FF4E42"/>
    <w:rsid w:val="00FF4E4D"/>
    <w:rsid w:val="00FF4EA4"/>
    <w:rsid w:val="00FF4F1D"/>
    <w:rsid w:val="00FF5212"/>
    <w:rsid w:val="00FF5655"/>
    <w:rsid w:val="00FF5679"/>
    <w:rsid w:val="00FF5690"/>
    <w:rsid w:val="00FF579D"/>
    <w:rsid w:val="00FF588A"/>
    <w:rsid w:val="00FF5EB4"/>
    <w:rsid w:val="00FF605A"/>
    <w:rsid w:val="00FF6386"/>
    <w:rsid w:val="00FF6417"/>
    <w:rsid w:val="00FF654F"/>
    <w:rsid w:val="00FF65BE"/>
    <w:rsid w:val="00FF6779"/>
    <w:rsid w:val="00FF677A"/>
    <w:rsid w:val="00FF73FB"/>
    <w:rsid w:val="00FF74E3"/>
    <w:rsid w:val="00FF7641"/>
    <w:rsid w:val="00FF7803"/>
    <w:rsid w:val="00FF7C2E"/>
    <w:rsid w:val="00FF7CB6"/>
    <w:rsid w:val="00FF7D02"/>
    <w:rsid w:val="00FF7DA0"/>
    <w:rsid w:val="00FF7E89"/>
    <w:rsid w:val="00FF7EF1"/>
    <w:rsid w:val="00FF7F2D"/>
    <w:rsid w:val="00FF7FC5"/>
    <w:rsid w:val="01560A7F"/>
    <w:rsid w:val="0171FF0B"/>
    <w:rsid w:val="017A095B"/>
    <w:rsid w:val="0183E672"/>
    <w:rsid w:val="01A2688A"/>
    <w:rsid w:val="01DF4DE0"/>
    <w:rsid w:val="020DD778"/>
    <w:rsid w:val="021152EA"/>
    <w:rsid w:val="0226EDDD"/>
    <w:rsid w:val="02282F75"/>
    <w:rsid w:val="02427D03"/>
    <w:rsid w:val="0249CE30"/>
    <w:rsid w:val="0254AAED"/>
    <w:rsid w:val="026B40E8"/>
    <w:rsid w:val="026FE834"/>
    <w:rsid w:val="0274FB1E"/>
    <w:rsid w:val="02A2AF64"/>
    <w:rsid w:val="02B06A88"/>
    <w:rsid w:val="02B89857"/>
    <w:rsid w:val="02BEB726"/>
    <w:rsid w:val="02DE92C2"/>
    <w:rsid w:val="02E2B914"/>
    <w:rsid w:val="02FD3321"/>
    <w:rsid w:val="0300E2DA"/>
    <w:rsid w:val="03049073"/>
    <w:rsid w:val="030DAEE6"/>
    <w:rsid w:val="03141A54"/>
    <w:rsid w:val="0326046A"/>
    <w:rsid w:val="032F6D7E"/>
    <w:rsid w:val="0330F20B"/>
    <w:rsid w:val="0365A1CF"/>
    <w:rsid w:val="03918529"/>
    <w:rsid w:val="03AD0468"/>
    <w:rsid w:val="03C80F00"/>
    <w:rsid w:val="03DBAF7A"/>
    <w:rsid w:val="03DFBB43"/>
    <w:rsid w:val="03E41952"/>
    <w:rsid w:val="03EDD4D2"/>
    <w:rsid w:val="03F5B228"/>
    <w:rsid w:val="03FBA1D2"/>
    <w:rsid w:val="0428F140"/>
    <w:rsid w:val="04393444"/>
    <w:rsid w:val="045352DC"/>
    <w:rsid w:val="046E6219"/>
    <w:rsid w:val="0488840D"/>
    <w:rsid w:val="0489BD65"/>
    <w:rsid w:val="049E6F65"/>
    <w:rsid w:val="04AF80FF"/>
    <w:rsid w:val="04B35E9A"/>
    <w:rsid w:val="04C14222"/>
    <w:rsid w:val="04C37B49"/>
    <w:rsid w:val="04D16793"/>
    <w:rsid w:val="04D22A32"/>
    <w:rsid w:val="04E8A8A1"/>
    <w:rsid w:val="050DF168"/>
    <w:rsid w:val="053592D3"/>
    <w:rsid w:val="0535BD10"/>
    <w:rsid w:val="053881B6"/>
    <w:rsid w:val="053FC1A1"/>
    <w:rsid w:val="054943A6"/>
    <w:rsid w:val="05600780"/>
    <w:rsid w:val="0574B3DF"/>
    <w:rsid w:val="0598BCAB"/>
    <w:rsid w:val="059C61C4"/>
    <w:rsid w:val="059C7EE7"/>
    <w:rsid w:val="05ABD1DD"/>
    <w:rsid w:val="05AEC666"/>
    <w:rsid w:val="05BAF962"/>
    <w:rsid w:val="064AF427"/>
    <w:rsid w:val="0665BC72"/>
    <w:rsid w:val="06709552"/>
    <w:rsid w:val="0675E3DC"/>
    <w:rsid w:val="067B246A"/>
    <w:rsid w:val="067B387F"/>
    <w:rsid w:val="06A33C2C"/>
    <w:rsid w:val="06AB2656"/>
    <w:rsid w:val="06DE2AFD"/>
    <w:rsid w:val="06EDB2C5"/>
    <w:rsid w:val="06EF4A06"/>
    <w:rsid w:val="06F14422"/>
    <w:rsid w:val="0700207C"/>
    <w:rsid w:val="0703AFC6"/>
    <w:rsid w:val="07173C0A"/>
    <w:rsid w:val="07448819"/>
    <w:rsid w:val="0749F791"/>
    <w:rsid w:val="075D1A64"/>
    <w:rsid w:val="07639232"/>
    <w:rsid w:val="0768E22D"/>
    <w:rsid w:val="07A3023B"/>
    <w:rsid w:val="07A9078B"/>
    <w:rsid w:val="07B07DFC"/>
    <w:rsid w:val="07B90FD6"/>
    <w:rsid w:val="07BDB9E0"/>
    <w:rsid w:val="07F420B2"/>
    <w:rsid w:val="07FF9596"/>
    <w:rsid w:val="0802FFC0"/>
    <w:rsid w:val="08109B6D"/>
    <w:rsid w:val="08173F59"/>
    <w:rsid w:val="08271319"/>
    <w:rsid w:val="082DA103"/>
    <w:rsid w:val="083D33B8"/>
    <w:rsid w:val="08578AE3"/>
    <w:rsid w:val="085FFC06"/>
    <w:rsid w:val="08754C4F"/>
    <w:rsid w:val="087BC15F"/>
    <w:rsid w:val="08835B35"/>
    <w:rsid w:val="0898362A"/>
    <w:rsid w:val="08B9CA01"/>
    <w:rsid w:val="08E7D838"/>
    <w:rsid w:val="08EB8D3A"/>
    <w:rsid w:val="090BB994"/>
    <w:rsid w:val="092255DE"/>
    <w:rsid w:val="094DAF82"/>
    <w:rsid w:val="0967E9B4"/>
    <w:rsid w:val="09761E49"/>
    <w:rsid w:val="09AF9550"/>
    <w:rsid w:val="09B2C52C"/>
    <w:rsid w:val="09BAA0CE"/>
    <w:rsid w:val="09BBAA26"/>
    <w:rsid w:val="09CC5D8B"/>
    <w:rsid w:val="09D588F7"/>
    <w:rsid w:val="09ECDE12"/>
    <w:rsid w:val="09EF8E3D"/>
    <w:rsid w:val="0A22AA3F"/>
    <w:rsid w:val="0A2B0481"/>
    <w:rsid w:val="0A37BEB6"/>
    <w:rsid w:val="0A938330"/>
    <w:rsid w:val="0AB7F318"/>
    <w:rsid w:val="0ABED0B0"/>
    <w:rsid w:val="0ADC5D62"/>
    <w:rsid w:val="0AE29DBC"/>
    <w:rsid w:val="0AE683BC"/>
    <w:rsid w:val="0B0DB102"/>
    <w:rsid w:val="0B1351ED"/>
    <w:rsid w:val="0B1827D7"/>
    <w:rsid w:val="0B1A3D81"/>
    <w:rsid w:val="0B372728"/>
    <w:rsid w:val="0B4676DB"/>
    <w:rsid w:val="0B498341"/>
    <w:rsid w:val="0B4E958D"/>
    <w:rsid w:val="0B5973D0"/>
    <w:rsid w:val="0BB9D364"/>
    <w:rsid w:val="0BE2DC48"/>
    <w:rsid w:val="0BE3719C"/>
    <w:rsid w:val="0BF4DC93"/>
    <w:rsid w:val="0C026C76"/>
    <w:rsid w:val="0C078B0A"/>
    <w:rsid w:val="0C088DFD"/>
    <w:rsid w:val="0C2F516E"/>
    <w:rsid w:val="0C3B648B"/>
    <w:rsid w:val="0C44F646"/>
    <w:rsid w:val="0C4C11BF"/>
    <w:rsid w:val="0C4CDEEE"/>
    <w:rsid w:val="0C749BCD"/>
    <w:rsid w:val="0C85EA5D"/>
    <w:rsid w:val="0C8A87DA"/>
    <w:rsid w:val="0C990FA3"/>
    <w:rsid w:val="0C9ACB7E"/>
    <w:rsid w:val="0CA60D5F"/>
    <w:rsid w:val="0CFBC562"/>
    <w:rsid w:val="0D1CBE29"/>
    <w:rsid w:val="0D40F246"/>
    <w:rsid w:val="0D977AF7"/>
    <w:rsid w:val="0DB8AB81"/>
    <w:rsid w:val="0DD1C438"/>
    <w:rsid w:val="0DDA3220"/>
    <w:rsid w:val="0DDE5B10"/>
    <w:rsid w:val="0E012CEB"/>
    <w:rsid w:val="0E10E48E"/>
    <w:rsid w:val="0E331F01"/>
    <w:rsid w:val="0E60DBF9"/>
    <w:rsid w:val="0EA17339"/>
    <w:rsid w:val="0EA1E35D"/>
    <w:rsid w:val="0EAB419C"/>
    <w:rsid w:val="0EB23E14"/>
    <w:rsid w:val="0EE6C330"/>
    <w:rsid w:val="0F327B5E"/>
    <w:rsid w:val="0F3E0F9A"/>
    <w:rsid w:val="0F4ADB25"/>
    <w:rsid w:val="0F4D9042"/>
    <w:rsid w:val="0F5F1BE7"/>
    <w:rsid w:val="0F846807"/>
    <w:rsid w:val="0F87D89A"/>
    <w:rsid w:val="0FAAF869"/>
    <w:rsid w:val="0FD913B2"/>
    <w:rsid w:val="0FDF498A"/>
    <w:rsid w:val="0FE750F7"/>
    <w:rsid w:val="104842F5"/>
    <w:rsid w:val="10509361"/>
    <w:rsid w:val="10591289"/>
    <w:rsid w:val="106A5150"/>
    <w:rsid w:val="107D4A8C"/>
    <w:rsid w:val="10913DC6"/>
    <w:rsid w:val="109B578C"/>
    <w:rsid w:val="10BEC1A9"/>
    <w:rsid w:val="110FBADF"/>
    <w:rsid w:val="111E58F1"/>
    <w:rsid w:val="1129A103"/>
    <w:rsid w:val="1136830E"/>
    <w:rsid w:val="115203EA"/>
    <w:rsid w:val="116C49A8"/>
    <w:rsid w:val="1180A949"/>
    <w:rsid w:val="118A716B"/>
    <w:rsid w:val="11C87580"/>
    <w:rsid w:val="11D23675"/>
    <w:rsid w:val="11D60DE1"/>
    <w:rsid w:val="11E1546E"/>
    <w:rsid w:val="121762EC"/>
    <w:rsid w:val="1220F59C"/>
    <w:rsid w:val="123C53DC"/>
    <w:rsid w:val="12567A65"/>
    <w:rsid w:val="128CB80F"/>
    <w:rsid w:val="1293B69F"/>
    <w:rsid w:val="12A57848"/>
    <w:rsid w:val="12CB6525"/>
    <w:rsid w:val="12CE693A"/>
    <w:rsid w:val="12E38180"/>
    <w:rsid w:val="130C8F2F"/>
    <w:rsid w:val="1313FE99"/>
    <w:rsid w:val="13181C61"/>
    <w:rsid w:val="131873BF"/>
    <w:rsid w:val="1334FCB2"/>
    <w:rsid w:val="1342B181"/>
    <w:rsid w:val="135C3957"/>
    <w:rsid w:val="138D01C2"/>
    <w:rsid w:val="139A7034"/>
    <w:rsid w:val="13B31AD4"/>
    <w:rsid w:val="13BCE8BC"/>
    <w:rsid w:val="13BF8C1D"/>
    <w:rsid w:val="13D2DB44"/>
    <w:rsid w:val="13D7EE17"/>
    <w:rsid w:val="13DBD976"/>
    <w:rsid w:val="140AE90E"/>
    <w:rsid w:val="1410D5BE"/>
    <w:rsid w:val="1416F61B"/>
    <w:rsid w:val="142FE362"/>
    <w:rsid w:val="14312221"/>
    <w:rsid w:val="14329D1D"/>
    <w:rsid w:val="14700120"/>
    <w:rsid w:val="147E5FC0"/>
    <w:rsid w:val="14980E2D"/>
    <w:rsid w:val="14AF8801"/>
    <w:rsid w:val="14BF4F82"/>
    <w:rsid w:val="14CBD5BB"/>
    <w:rsid w:val="14D71D95"/>
    <w:rsid w:val="14F1C033"/>
    <w:rsid w:val="14F6B576"/>
    <w:rsid w:val="15017869"/>
    <w:rsid w:val="15062A9F"/>
    <w:rsid w:val="150662D4"/>
    <w:rsid w:val="1530CADA"/>
    <w:rsid w:val="1544B68C"/>
    <w:rsid w:val="155A0117"/>
    <w:rsid w:val="1571CD04"/>
    <w:rsid w:val="15848AF9"/>
    <w:rsid w:val="1585685F"/>
    <w:rsid w:val="15D01CBE"/>
    <w:rsid w:val="15D54D0E"/>
    <w:rsid w:val="15FD2ABF"/>
    <w:rsid w:val="1625E74D"/>
    <w:rsid w:val="16276CD4"/>
    <w:rsid w:val="16476789"/>
    <w:rsid w:val="168346EA"/>
    <w:rsid w:val="16A2FE3D"/>
    <w:rsid w:val="16C6B637"/>
    <w:rsid w:val="16CF52ED"/>
    <w:rsid w:val="16DC7D8E"/>
    <w:rsid w:val="16DDAD02"/>
    <w:rsid w:val="170819DF"/>
    <w:rsid w:val="171A604E"/>
    <w:rsid w:val="17235589"/>
    <w:rsid w:val="172B3238"/>
    <w:rsid w:val="1732327B"/>
    <w:rsid w:val="17673ABA"/>
    <w:rsid w:val="176EAC98"/>
    <w:rsid w:val="17851999"/>
    <w:rsid w:val="17923F8C"/>
    <w:rsid w:val="17A2CA4E"/>
    <w:rsid w:val="17A4236C"/>
    <w:rsid w:val="17ADD3BF"/>
    <w:rsid w:val="17B74AD7"/>
    <w:rsid w:val="17C3BA1C"/>
    <w:rsid w:val="17E06E4E"/>
    <w:rsid w:val="1820D1B6"/>
    <w:rsid w:val="182B592E"/>
    <w:rsid w:val="18552D53"/>
    <w:rsid w:val="1858C2DC"/>
    <w:rsid w:val="185D0116"/>
    <w:rsid w:val="1878DE57"/>
    <w:rsid w:val="189161DE"/>
    <w:rsid w:val="1897AD94"/>
    <w:rsid w:val="18BA688F"/>
    <w:rsid w:val="18C91A05"/>
    <w:rsid w:val="18E60F67"/>
    <w:rsid w:val="1912743D"/>
    <w:rsid w:val="19487D3F"/>
    <w:rsid w:val="195403E9"/>
    <w:rsid w:val="19635487"/>
    <w:rsid w:val="1964ABC1"/>
    <w:rsid w:val="199AD1D0"/>
    <w:rsid w:val="19D0D95B"/>
    <w:rsid w:val="19D22120"/>
    <w:rsid w:val="19DE440D"/>
    <w:rsid w:val="19FD9230"/>
    <w:rsid w:val="1A29E727"/>
    <w:rsid w:val="1A43DD85"/>
    <w:rsid w:val="1A467165"/>
    <w:rsid w:val="1A47BA7C"/>
    <w:rsid w:val="1A4B8179"/>
    <w:rsid w:val="1A709C12"/>
    <w:rsid w:val="1A8D05EB"/>
    <w:rsid w:val="1A91AA7F"/>
    <w:rsid w:val="1AACF519"/>
    <w:rsid w:val="1AC30F4B"/>
    <w:rsid w:val="1AEF09A2"/>
    <w:rsid w:val="1AF23742"/>
    <w:rsid w:val="1B059257"/>
    <w:rsid w:val="1B07445D"/>
    <w:rsid w:val="1B0C310B"/>
    <w:rsid w:val="1B11DD2B"/>
    <w:rsid w:val="1B3B5BBF"/>
    <w:rsid w:val="1B407409"/>
    <w:rsid w:val="1B49508B"/>
    <w:rsid w:val="1B4AC9DB"/>
    <w:rsid w:val="1B4D3488"/>
    <w:rsid w:val="1B7D0482"/>
    <w:rsid w:val="1B7D111A"/>
    <w:rsid w:val="1B7EA399"/>
    <w:rsid w:val="1B88FA6F"/>
    <w:rsid w:val="1B957A10"/>
    <w:rsid w:val="1BC5D857"/>
    <w:rsid w:val="1BC9112B"/>
    <w:rsid w:val="1BD34931"/>
    <w:rsid w:val="1BD5D8C2"/>
    <w:rsid w:val="1BD80543"/>
    <w:rsid w:val="1BF0415B"/>
    <w:rsid w:val="1BF38DFA"/>
    <w:rsid w:val="1BF46167"/>
    <w:rsid w:val="1C04C452"/>
    <w:rsid w:val="1C084403"/>
    <w:rsid w:val="1C22FB89"/>
    <w:rsid w:val="1C31109D"/>
    <w:rsid w:val="1C323912"/>
    <w:rsid w:val="1C3980CD"/>
    <w:rsid w:val="1C5B84E4"/>
    <w:rsid w:val="1C769EDB"/>
    <w:rsid w:val="1C7BFBD9"/>
    <w:rsid w:val="1CBE087A"/>
    <w:rsid w:val="1CD78A9E"/>
    <w:rsid w:val="1CD8F4F5"/>
    <w:rsid w:val="1D0D1BA9"/>
    <w:rsid w:val="1D2E693B"/>
    <w:rsid w:val="1D33B232"/>
    <w:rsid w:val="1D52434E"/>
    <w:rsid w:val="1D5A91C2"/>
    <w:rsid w:val="1D5F9E2C"/>
    <w:rsid w:val="1D989375"/>
    <w:rsid w:val="1DC1B4A5"/>
    <w:rsid w:val="1DF8E956"/>
    <w:rsid w:val="1E0363A9"/>
    <w:rsid w:val="1E0375F4"/>
    <w:rsid w:val="1E137B1B"/>
    <w:rsid w:val="1E1F6D70"/>
    <w:rsid w:val="1E53A4A1"/>
    <w:rsid w:val="1E6BBBC7"/>
    <w:rsid w:val="1E86E329"/>
    <w:rsid w:val="1E99ABC3"/>
    <w:rsid w:val="1ED669D1"/>
    <w:rsid w:val="1EE51061"/>
    <w:rsid w:val="1EE6998A"/>
    <w:rsid w:val="1EF99587"/>
    <w:rsid w:val="1F0FEC4A"/>
    <w:rsid w:val="1F1427DE"/>
    <w:rsid w:val="1F3AE602"/>
    <w:rsid w:val="1F46F68F"/>
    <w:rsid w:val="1F5B35DE"/>
    <w:rsid w:val="1F7D0126"/>
    <w:rsid w:val="1F7FE731"/>
    <w:rsid w:val="1F8951D6"/>
    <w:rsid w:val="1F980685"/>
    <w:rsid w:val="1FAC24F5"/>
    <w:rsid w:val="1FC15348"/>
    <w:rsid w:val="1FD87A4F"/>
    <w:rsid w:val="1FE0A828"/>
    <w:rsid w:val="1FFA081A"/>
    <w:rsid w:val="200601AD"/>
    <w:rsid w:val="2020C18F"/>
    <w:rsid w:val="20305717"/>
    <w:rsid w:val="203B34C1"/>
    <w:rsid w:val="209F493A"/>
    <w:rsid w:val="20A5352F"/>
    <w:rsid w:val="20A68B86"/>
    <w:rsid w:val="20AABAE5"/>
    <w:rsid w:val="20AB3FA7"/>
    <w:rsid w:val="20F1EB19"/>
    <w:rsid w:val="211605BA"/>
    <w:rsid w:val="216E5A0B"/>
    <w:rsid w:val="21A622A3"/>
    <w:rsid w:val="21AD3BD0"/>
    <w:rsid w:val="224F391C"/>
    <w:rsid w:val="2266B1F2"/>
    <w:rsid w:val="226CC0FF"/>
    <w:rsid w:val="2279B785"/>
    <w:rsid w:val="22B18C2B"/>
    <w:rsid w:val="22C45F1A"/>
    <w:rsid w:val="22E007AA"/>
    <w:rsid w:val="22EB97E2"/>
    <w:rsid w:val="22ECDD37"/>
    <w:rsid w:val="22FB904F"/>
    <w:rsid w:val="232ECE34"/>
    <w:rsid w:val="233613EA"/>
    <w:rsid w:val="2367E4FD"/>
    <w:rsid w:val="23889FE9"/>
    <w:rsid w:val="2399727A"/>
    <w:rsid w:val="239CA57E"/>
    <w:rsid w:val="23B82FE6"/>
    <w:rsid w:val="23EA1C2F"/>
    <w:rsid w:val="23FEC9A5"/>
    <w:rsid w:val="23FF8A5A"/>
    <w:rsid w:val="24025481"/>
    <w:rsid w:val="24145798"/>
    <w:rsid w:val="241ECC6B"/>
    <w:rsid w:val="2440105F"/>
    <w:rsid w:val="24629406"/>
    <w:rsid w:val="246CF239"/>
    <w:rsid w:val="2477ED95"/>
    <w:rsid w:val="24AC2B49"/>
    <w:rsid w:val="24AFD362"/>
    <w:rsid w:val="24C074D0"/>
    <w:rsid w:val="24CBA5EE"/>
    <w:rsid w:val="24CCD863"/>
    <w:rsid w:val="24DDAAEB"/>
    <w:rsid w:val="24E5DE68"/>
    <w:rsid w:val="24FD6DD6"/>
    <w:rsid w:val="25238669"/>
    <w:rsid w:val="25240F78"/>
    <w:rsid w:val="253C15AD"/>
    <w:rsid w:val="25612CCF"/>
    <w:rsid w:val="2571FDE7"/>
    <w:rsid w:val="25879A6F"/>
    <w:rsid w:val="25AF8C20"/>
    <w:rsid w:val="25B096D0"/>
    <w:rsid w:val="25E8A63C"/>
    <w:rsid w:val="25FF6482"/>
    <w:rsid w:val="2618B528"/>
    <w:rsid w:val="2632902B"/>
    <w:rsid w:val="2634F005"/>
    <w:rsid w:val="26904595"/>
    <w:rsid w:val="26AA3C91"/>
    <w:rsid w:val="26B99D9E"/>
    <w:rsid w:val="26DB4E50"/>
    <w:rsid w:val="26F23459"/>
    <w:rsid w:val="272BC100"/>
    <w:rsid w:val="2744C5B7"/>
    <w:rsid w:val="27778AF7"/>
    <w:rsid w:val="2785AC6E"/>
    <w:rsid w:val="278836CF"/>
    <w:rsid w:val="27B94A05"/>
    <w:rsid w:val="27D31230"/>
    <w:rsid w:val="27E96490"/>
    <w:rsid w:val="27F63937"/>
    <w:rsid w:val="282CB193"/>
    <w:rsid w:val="282E5573"/>
    <w:rsid w:val="28532F7A"/>
    <w:rsid w:val="286A42F3"/>
    <w:rsid w:val="2875B237"/>
    <w:rsid w:val="2887C6C2"/>
    <w:rsid w:val="2895113E"/>
    <w:rsid w:val="28BA97E9"/>
    <w:rsid w:val="28CD0E58"/>
    <w:rsid w:val="28D094A9"/>
    <w:rsid w:val="28D0E937"/>
    <w:rsid w:val="28D75DDF"/>
    <w:rsid w:val="28E8E89C"/>
    <w:rsid w:val="29083B97"/>
    <w:rsid w:val="293961E9"/>
    <w:rsid w:val="293A6E4F"/>
    <w:rsid w:val="2952C7EF"/>
    <w:rsid w:val="2954A98D"/>
    <w:rsid w:val="29771760"/>
    <w:rsid w:val="2978E454"/>
    <w:rsid w:val="297AA6A5"/>
    <w:rsid w:val="297C3D27"/>
    <w:rsid w:val="298D931E"/>
    <w:rsid w:val="2999FF7C"/>
    <w:rsid w:val="29A84690"/>
    <w:rsid w:val="29B9DCDE"/>
    <w:rsid w:val="29D2DBDD"/>
    <w:rsid w:val="29ED408A"/>
    <w:rsid w:val="2A0852F4"/>
    <w:rsid w:val="2A21D87D"/>
    <w:rsid w:val="2A42B63B"/>
    <w:rsid w:val="2A4D9C9A"/>
    <w:rsid w:val="2A7FE9B8"/>
    <w:rsid w:val="2AB251BA"/>
    <w:rsid w:val="2AC16BFE"/>
    <w:rsid w:val="2AD28783"/>
    <w:rsid w:val="2AF5B22C"/>
    <w:rsid w:val="2B283E8D"/>
    <w:rsid w:val="2B29637F"/>
    <w:rsid w:val="2B46E60C"/>
    <w:rsid w:val="2B5A1BF7"/>
    <w:rsid w:val="2B5FB1C7"/>
    <w:rsid w:val="2B68B49D"/>
    <w:rsid w:val="2B6BD14D"/>
    <w:rsid w:val="2B6F97E9"/>
    <w:rsid w:val="2B77EDF3"/>
    <w:rsid w:val="2B85403F"/>
    <w:rsid w:val="2B8CC45D"/>
    <w:rsid w:val="2B8CE039"/>
    <w:rsid w:val="2BD2F201"/>
    <w:rsid w:val="2BD93CB5"/>
    <w:rsid w:val="2BE0665A"/>
    <w:rsid w:val="2BE6824F"/>
    <w:rsid w:val="2C3C4F5A"/>
    <w:rsid w:val="2C4447CB"/>
    <w:rsid w:val="2C492B29"/>
    <w:rsid w:val="2C4F6AA7"/>
    <w:rsid w:val="2C4FFEA1"/>
    <w:rsid w:val="2C983054"/>
    <w:rsid w:val="2CB40A1C"/>
    <w:rsid w:val="2D082616"/>
    <w:rsid w:val="2D200D94"/>
    <w:rsid w:val="2D3FE217"/>
    <w:rsid w:val="2D458A1F"/>
    <w:rsid w:val="2D4A6BE9"/>
    <w:rsid w:val="2D5C1276"/>
    <w:rsid w:val="2D6CE99E"/>
    <w:rsid w:val="2D80521B"/>
    <w:rsid w:val="2D9A7B89"/>
    <w:rsid w:val="2D9E191F"/>
    <w:rsid w:val="2DA7184F"/>
    <w:rsid w:val="2DB157C5"/>
    <w:rsid w:val="2DB891FA"/>
    <w:rsid w:val="2DDEF8F5"/>
    <w:rsid w:val="2DE12D79"/>
    <w:rsid w:val="2DFF7DA9"/>
    <w:rsid w:val="2E05D8C2"/>
    <w:rsid w:val="2E1D23A0"/>
    <w:rsid w:val="2E222235"/>
    <w:rsid w:val="2E3B077A"/>
    <w:rsid w:val="2E411514"/>
    <w:rsid w:val="2E707E32"/>
    <w:rsid w:val="2E7A5AC4"/>
    <w:rsid w:val="2E7F33E6"/>
    <w:rsid w:val="2E8138B5"/>
    <w:rsid w:val="2E91D4E9"/>
    <w:rsid w:val="2E9BD51F"/>
    <w:rsid w:val="2EB22F85"/>
    <w:rsid w:val="2EB581AD"/>
    <w:rsid w:val="2EBE07C6"/>
    <w:rsid w:val="2F11727E"/>
    <w:rsid w:val="2F1E9C49"/>
    <w:rsid w:val="2F1F19DD"/>
    <w:rsid w:val="2F2D216F"/>
    <w:rsid w:val="2F426E80"/>
    <w:rsid w:val="2F5D3B4C"/>
    <w:rsid w:val="2F6D0796"/>
    <w:rsid w:val="2F93984C"/>
    <w:rsid w:val="2F973479"/>
    <w:rsid w:val="2F987405"/>
    <w:rsid w:val="2F9E5A97"/>
    <w:rsid w:val="2FA4B996"/>
    <w:rsid w:val="2FBB88B6"/>
    <w:rsid w:val="2FBC44E4"/>
    <w:rsid w:val="2FC2B587"/>
    <w:rsid w:val="2FC78EC2"/>
    <w:rsid w:val="2FD50690"/>
    <w:rsid w:val="2FE774D3"/>
    <w:rsid w:val="2FF2D9CD"/>
    <w:rsid w:val="2FF3BFA2"/>
    <w:rsid w:val="2FFB578D"/>
    <w:rsid w:val="3001FE7F"/>
    <w:rsid w:val="30101D5C"/>
    <w:rsid w:val="30219B64"/>
    <w:rsid w:val="302DA54A"/>
    <w:rsid w:val="307A1927"/>
    <w:rsid w:val="308316B1"/>
    <w:rsid w:val="308B29B1"/>
    <w:rsid w:val="309A36C9"/>
    <w:rsid w:val="30C6972D"/>
    <w:rsid w:val="30E77DC0"/>
    <w:rsid w:val="30FC9142"/>
    <w:rsid w:val="315B22BC"/>
    <w:rsid w:val="316DFECD"/>
    <w:rsid w:val="316F1D2B"/>
    <w:rsid w:val="318F8988"/>
    <w:rsid w:val="31C975AB"/>
    <w:rsid w:val="31CFDFB7"/>
    <w:rsid w:val="31D9BD0C"/>
    <w:rsid w:val="31DAF128"/>
    <w:rsid w:val="31E2408C"/>
    <w:rsid w:val="31E9C151"/>
    <w:rsid w:val="32390BE2"/>
    <w:rsid w:val="324C5DA2"/>
    <w:rsid w:val="32825C21"/>
    <w:rsid w:val="32959657"/>
    <w:rsid w:val="32A781AE"/>
    <w:rsid w:val="32AA1ED7"/>
    <w:rsid w:val="32D84755"/>
    <w:rsid w:val="33117683"/>
    <w:rsid w:val="3350D8B9"/>
    <w:rsid w:val="3352E238"/>
    <w:rsid w:val="3362E5F7"/>
    <w:rsid w:val="33708CAC"/>
    <w:rsid w:val="3372B7E8"/>
    <w:rsid w:val="3398F9D0"/>
    <w:rsid w:val="339D69AE"/>
    <w:rsid w:val="33BF4F04"/>
    <w:rsid w:val="33D0FA82"/>
    <w:rsid w:val="33DCC802"/>
    <w:rsid w:val="33F9E665"/>
    <w:rsid w:val="33FCE1B4"/>
    <w:rsid w:val="33FFE953"/>
    <w:rsid w:val="34283857"/>
    <w:rsid w:val="34366B18"/>
    <w:rsid w:val="343A755B"/>
    <w:rsid w:val="3448ABD0"/>
    <w:rsid w:val="344CF83F"/>
    <w:rsid w:val="345573EE"/>
    <w:rsid w:val="34676BE2"/>
    <w:rsid w:val="34710187"/>
    <w:rsid w:val="34776AF2"/>
    <w:rsid w:val="3477B2A2"/>
    <w:rsid w:val="347874D5"/>
    <w:rsid w:val="34CFB695"/>
    <w:rsid w:val="34FE5880"/>
    <w:rsid w:val="350D711D"/>
    <w:rsid w:val="351B3543"/>
    <w:rsid w:val="3524CD01"/>
    <w:rsid w:val="3531551E"/>
    <w:rsid w:val="355F7A4D"/>
    <w:rsid w:val="3560963C"/>
    <w:rsid w:val="3582C2FF"/>
    <w:rsid w:val="35844520"/>
    <w:rsid w:val="3585C341"/>
    <w:rsid w:val="3588D3B4"/>
    <w:rsid w:val="358A5A8A"/>
    <w:rsid w:val="358C1087"/>
    <w:rsid w:val="3593BA9D"/>
    <w:rsid w:val="35ABEC6D"/>
    <w:rsid w:val="35E6007A"/>
    <w:rsid w:val="35EF588B"/>
    <w:rsid w:val="362CF8E8"/>
    <w:rsid w:val="364B33B2"/>
    <w:rsid w:val="36591B62"/>
    <w:rsid w:val="365CC0B6"/>
    <w:rsid w:val="366B138C"/>
    <w:rsid w:val="36789CB3"/>
    <w:rsid w:val="368A8FA0"/>
    <w:rsid w:val="3696305E"/>
    <w:rsid w:val="369F3FCC"/>
    <w:rsid w:val="36A5560E"/>
    <w:rsid w:val="37140218"/>
    <w:rsid w:val="3718CBB1"/>
    <w:rsid w:val="37244108"/>
    <w:rsid w:val="3725BB46"/>
    <w:rsid w:val="3729D6A4"/>
    <w:rsid w:val="3748BB08"/>
    <w:rsid w:val="3799EF2F"/>
    <w:rsid w:val="37A0F431"/>
    <w:rsid w:val="37C3E9DC"/>
    <w:rsid w:val="37C5EC06"/>
    <w:rsid w:val="37C6A9EE"/>
    <w:rsid w:val="37CDE69F"/>
    <w:rsid w:val="37F7B5EF"/>
    <w:rsid w:val="37F9E609"/>
    <w:rsid w:val="380F764E"/>
    <w:rsid w:val="38A65DA8"/>
    <w:rsid w:val="3912EC43"/>
    <w:rsid w:val="3921A5D9"/>
    <w:rsid w:val="3923F287"/>
    <w:rsid w:val="39350F91"/>
    <w:rsid w:val="395EB430"/>
    <w:rsid w:val="39726C4B"/>
    <w:rsid w:val="39BAEC74"/>
    <w:rsid w:val="39D69E1F"/>
    <w:rsid w:val="39ECF729"/>
    <w:rsid w:val="3A160C50"/>
    <w:rsid w:val="3A178E4D"/>
    <w:rsid w:val="3A2B638C"/>
    <w:rsid w:val="3A2CF870"/>
    <w:rsid w:val="3A9A802D"/>
    <w:rsid w:val="3AAA9B3E"/>
    <w:rsid w:val="3ACA7E0F"/>
    <w:rsid w:val="3AFD89DA"/>
    <w:rsid w:val="3B00FCAE"/>
    <w:rsid w:val="3B2107E1"/>
    <w:rsid w:val="3B308ACF"/>
    <w:rsid w:val="3B4254F9"/>
    <w:rsid w:val="3B5D1202"/>
    <w:rsid w:val="3B6D84D4"/>
    <w:rsid w:val="3B81C1B7"/>
    <w:rsid w:val="3BA6F9E9"/>
    <w:rsid w:val="3BBB182B"/>
    <w:rsid w:val="3BDE2116"/>
    <w:rsid w:val="3BE04F65"/>
    <w:rsid w:val="3BF80CAE"/>
    <w:rsid w:val="3C0ABE83"/>
    <w:rsid w:val="3C234E69"/>
    <w:rsid w:val="3C39A9FF"/>
    <w:rsid w:val="3CA6BF86"/>
    <w:rsid w:val="3CD471BD"/>
    <w:rsid w:val="3CE5BEBB"/>
    <w:rsid w:val="3CF45C52"/>
    <w:rsid w:val="3CFC4445"/>
    <w:rsid w:val="3D26A856"/>
    <w:rsid w:val="3D2D5785"/>
    <w:rsid w:val="3D39410D"/>
    <w:rsid w:val="3D3E136A"/>
    <w:rsid w:val="3D506459"/>
    <w:rsid w:val="3D510781"/>
    <w:rsid w:val="3D6009C3"/>
    <w:rsid w:val="3D60C720"/>
    <w:rsid w:val="3D637089"/>
    <w:rsid w:val="3D6B4C7D"/>
    <w:rsid w:val="3D77591A"/>
    <w:rsid w:val="3D7D5AF2"/>
    <w:rsid w:val="3DA4A232"/>
    <w:rsid w:val="3DBAC940"/>
    <w:rsid w:val="3DD2ECDE"/>
    <w:rsid w:val="3E21E856"/>
    <w:rsid w:val="3E5E7F07"/>
    <w:rsid w:val="3E7F5278"/>
    <w:rsid w:val="3E821BE3"/>
    <w:rsid w:val="3EA9EE7F"/>
    <w:rsid w:val="3EC4ADF8"/>
    <w:rsid w:val="3ED24A50"/>
    <w:rsid w:val="3EFCCB74"/>
    <w:rsid w:val="3F003BA0"/>
    <w:rsid w:val="3F04B94C"/>
    <w:rsid w:val="3F13B186"/>
    <w:rsid w:val="3F5812F2"/>
    <w:rsid w:val="3F627663"/>
    <w:rsid w:val="3F6F1F5E"/>
    <w:rsid w:val="3F70AFFB"/>
    <w:rsid w:val="3F8A41FB"/>
    <w:rsid w:val="3FA6E0FA"/>
    <w:rsid w:val="3FACD5A7"/>
    <w:rsid w:val="3FC879C9"/>
    <w:rsid w:val="4002F613"/>
    <w:rsid w:val="400590D6"/>
    <w:rsid w:val="400597BD"/>
    <w:rsid w:val="400F9A4D"/>
    <w:rsid w:val="402D1DE2"/>
    <w:rsid w:val="406D0AA9"/>
    <w:rsid w:val="408733C9"/>
    <w:rsid w:val="4089CC21"/>
    <w:rsid w:val="408E2347"/>
    <w:rsid w:val="40946B34"/>
    <w:rsid w:val="40A82B15"/>
    <w:rsid w:val="40FD0F9A"/>
    <w:rsid w:val="41014B5B"/>
    <w:rsid w:val="4152A8EB"/>
    <w:rsid w:val="4157CB1C"/>
    <w:rsid w:val="41704EE0"/>
    <w:rsid w:val="41764F1E"/>
    <w:rsid w:val="417F754E"/>
    <w:rsid w:val="41857E5E"/>
    <w:rsid w:val="41874C2C"/>
    <w:rsid w:val="419BCAD6"/>
    <w:rsid w:val="419C9F03"/>
    <w:rsid w:val="41AEB60F"/>
    <w:rsid w:val="41D6EAC7"/>
    <w:rsid w:val="41EC497D"/>
    <w:rsid w:val="41F14075"/>
    <w:rsid w:val="4203EBB6"/>
    <w:rsid w:val="4228E147"/>
    <w:rsid w:val="427E8262"/>
    <w:rsid w:val="427F9345"/>
    <w:rsid w:val="42876142"/>
    <w:rsid w:val="42ADEDF5"/>
    <w:rsid w:val="42BD487D"/>
    <w:rsid w:val="42C8C96F"/>
    <w:rsid w:val="42EEBD09"/>
    <w:rsid w:val="431D51BA"/>
    <w:rsid w:val="431F543C"/>
    <w:rsid w:val="437ADAC7"/>
    <w:rsid w:val="43B3F393"/>
    <w:rsid w:val="43E6B5AC"/>
    <w:rsid w:val="43F8C27F"/>
    <w:rsid w:val="442E9323"/>
    <w:rsid w:val="443A6E07"/>
    <w:rsid w:val="4445F474"/>
    <w:rsid w:val="4467A73A"/>
    <w:rsid w:val="44819DD7"/>
    <w:rsid w:val="448535CB"/>
    <w:rsid w:val="44E1F4E9"/>
    <w:rsid w:val="44E38645"/>
    <w:rsid w:val="44F28147"/>
    <w:rsid w:val="4505B6FB"/>
    <w:rsid w:val="450DAE12"/>
    <w:rsid w:val="454D029A"/>
    <w:rsid w:val="455B5F96"/>
    <w:rsid w:val="456798E7"/>
    <w:rsid w:val="456EA596"/>
    <w:rsid w:val="457FE0C0"/>
    <w:rsid w:val="459D4231"/>
    <w:rsid w:val="45AA3630"/>
    <w:rsid w:val="45BA7443"/>
    <w:rsid w:val="45E1426A"/>
    <w:rsid w:val="45E5BDD9"/>
    <w:rsid w:val="45F1D4CD"/>
    <w:rsid w:val="4604839A"/>
    <w:rsid w:val="466C2C73"/>
    <w:rsid w:val="467A93BB"/>
    <w:rsid w:val="467C58D1"/>
    <w:rsid w:val="468157FA"/>
    <w:rsid w:val="469F612F"/>
    <w:rsid w:val="46AC80D4"/>
    <w:rsid w:val="46D28634"/>
    <w:rsid w:val="46D9D746"/>
    <w:rsid w:val="46DE74C1"/>
    <w:rsid w:val="46E37387"/>
    <w:rsid w:val="46FE5A7B"/>
    <w:rsid w:val="4721482F"/>
    <w:rsid w:val="473784AC"/>
    <w:rsid w:val="4739EDC8"/>
    <w:rsid w:val="474785D1"/>
    <w:rsid w:val="4764AA5C"/>
    <w:rsid w:val="47659E1D"/>
    <w:rsid w:val="476FE7BA"/>
    <w:rsid w:val="4778DF26"/>
    <w:rsid w:val="477A79E0"/>
    <w:rsid w:val="477F0345"/>
    <w:rsid w:val="47854AF2"/>
    <w:rsid w:val="478A9E88"/>
    <w:rsid w:val="479F1D84"/>
    <w:rsid w:val="47A77EA9"/>
    <w:rsid w:val="47A975CA"/>
    <w:rsid w:val="47AC2A76"/>
    <w:rsid w:val="47C730B3"/>
    <w:rsid w:val="47CAAF09"/>
    <w:rsid w:val="47CB244B"/>
    <w:rsid w:val="47FB7995"/>
    <w:rsid w:val="47FED35F"/>
    <w:rsid w:val="4803B5A5"/>
    <w:rsid w:val="480EAEEC"/>
    <w:rsid w:val="4810C85F"/>
    <w:rsid w:val="4819190B"/>
    <w:rsid w:val="48393E01"/>
    <w:rsid w:val="483E807B"/>
    <w:rsid w:val="48466753"/>
    <w:rsid w:val="484F2770"/>
    <w:rsid w:val="48802923"/>
    <w:rsid w:val="48833197"/>
    <w:rsid w:val="48AA0929"/>
    <w:rsid w:val="48C59F1D"/>
    <w:rsid w:val="48CA4DE6"/>
    <w:rsid w:val="48DD2702"/>
    <w:rsid w:val="48DF267B"/>
    <w:rsid w:val="48F31B55"/>
    <w:rsid w:val="48FEEF8C"/>
    <w:rsid w:val="4900C797"/>
    <w:rsid w:val="490E1FB1"/>
    <w:rsid w:val="4910A0F5"/>
    <w:rsid w:val="493A042B"/>
    <w:rsid w:val="498FDC46"/>
    <w:rsid w:val="499728FE"/>
    <w:rsid w:val="49997BC7"/>
    <w:rsid w:val="49D731BD"/>
    <w:rsid w:val="49DCA1A8"/>
    <w:rsid w:val="49E9703D"/>
    <w:rsid w:val="49EF1B4B"/>
    <w:rsid w:val="49F16F57"/>
    <w:rsid w:val="49F3E176"/>
    <w:rsid w:val="4A38ACEC"/>
    <w:rsid w:val="4A6CF531"/>
    <w:rsid w:val="4A78F763"/>
    <w:rsid w:val="4AA8B912"/>
    <w:rsid w:val="4AB05266"/>
    <w:rsid w:val="4ABA19F6"/>
    <w:rsid w:val="4AFC0007"/>
    <w:rsid w:val="4B1453E2"/>
    <w:rsid w:val="4B1526E8"/>
    <w:rsid w:val="4B1F7EEF"/>
    <w:rsid w:val="4B200F48"/>
    <w:rsid w:val="4B269D05"/>
    <w:rsid w:val="4B57919F"/>
    <w:rsid w:val="4B57FDC8"/>
    <w:rsid w:val="4B6AD68D"/>
    <w:rsid w:val="4B898629"/>
    <w:rsid w:val="4B97C8AE"/>
    <w:rsid w:val="4BD95328"/>
    <w:rsid w:val="4BFD4FF0"/>
    <w:rsid w:val="4C0AFD6D"/>
    <w:rsid w:val="4C10F4E8"/>
    <w:rsid w:val="4C1FDB96"/>
    <w:rsid w:val="4C334743"/>
    <w:rsid w:val="4C4C82D3"/>
    <w:rsid w:val="4C762549"/>
    <w:rsid w:val="4C8F339D"/>
    <w:rsid w:val="4C97E135"/>
    <w:rsid w:val="4CB0CF60"/>
    <w:rsid w:val="4CC20A67"/>
    <w:rsid w:val="4CD64E13"/>
    <w:rsid w:val="4CD7CC02"/>
    <w:rsid w:val="4CD99C5A"/>
    <w:rsid w:val="4CF1E9EA"/>
    <w:rsid w:val="4D1AC0D4"/>
    <w:rsid w:val="4D1EF31A"/>
    <w:rsid w:val="4D29D8A1"/>
    <w:rsid w:val="4D45BDBB"/>
    <w:rsid w:val="4D778825"/>
    <w:rsid w:val="4D7BA08F"/>
    <w:rsid w:val="4D91EB56"/>
    <w:rsid w:val="4D9551DC"/>
    <w:rsid w:val="4DA47D38"/>
    <w:rsid w:val="4DC361D7"/>
    <w:rsid w:val="4DD10BF3"/>
    <w:rsid w:val="4DE41218"/>
    <w:rsid w:val="4DEACAEA"/>
    <w:rsid w:val="4DEE98F6"/>
    <w:rsid w:val="4E38B6AA"/>
    <w:rsid w:val="4E3C3B64"/>
    <w:rsid w:val="4E48BB56"/>
    <w:rsid w:val="4E81A9A7"/>
    <w:rsid w:val="4EA687CD"/>
    <w:rsid w:val="4EAAA623"/>
    <w:rsid w:val="4EDF44F1"/>
    <w:rsid w:val="4EFAF0A3"/>
    <w:rsid w:val="4EFDA451"/>
    <w:rsid w:val="4F08B625"/>
    <w:rsid w:val="4F096C60"/>
    <w:rsid w:val="4F13BED7"/>
    <w:rsid w:val="4F13C573"/>
    <w:rsid w:val="4F224B91"/>
    <w:rsid w:val="4F55724F"/>
    <w:rsid w:val="4F7C44C0"/>
    <w:rsid w:val="4F7FE279"/>
    <w:rsid w:val="4F92CA88"/>
    <w:rsid w:val="4FA09E05"/>
    <w:rsid w:val="4FB3B982"/>
    <w:rsid w:val="4FB6A635"/>
    <w:rsid w:val="4FDFC44E"/>
    <w:rsid w:val="4FDFDC31"/>
    <w:rsid w:val="4FE4AEE7"/>
    <w:rsid w:val="4FEF930F"/>
    <w:rsid w:val="500CF2AB"/>
    <w:rsid w:val="5031E9D7"/>
    <w:rsid w:val="503815D3"/>
    <w:rsid w:val="5061CFB9"/>
    <w:rsid w:val="5061E6FE"/>
    <w:rsid w:val="5068F55F"/>
    <w:rsid w:val="50863688"/>
    <w:rsid w:val="5095C76D"/>
    <w:rsid w:val="5096F65D"/>
    <w:rsid w:val="509AFAFF"/>
    <w:rsid w:val="509D78EA"/>
    <w:rsid w:val="50DCF7B6"/>
    <w:rsid w:val="50DF90F9"/>
    <w:rsid w:val="51091A9A"/>
    <w:rsid w:val="51137B78"/>
    <w:rsid w:val="514D0310"/>
    <w:rsid w:val="515E7529"/>
    <w:rsid w:val="51826723"/>
    <w:rsid w:val="5187F226"/>
    <w:rsid w:val="5194D35C"/>
    <w:rsid w:val="519A4B4C"/>
    <w:rsid w:val="51F9658A"/>
    <w:rsid w:val="521ED7A9"/>
    <w:rsid w:val="5244F57A"/>
    <w:rsid w:val="5253BB81"/>
    <w:rsid w:val="525F1E4A"/>
    <w:rsid w:val="52898857"/>
    <w:rsid w:val="528EC951"/>
    <w:rsid w:val="52A1FA5E"/>
    <w:rsid w:val="52AB862A"/>
    <w:rsid w:val="52C5F53A"/>
    <w:rsid w:val="52E30E58"/>
    <w:rsid w:val="52E86053"/>
    <w:rsid w:val="52ECD30A"/>
    <w:rsid w:val="530B8E87"/>
    <w:rsid w:val="530C3CE3"/>
    <w:rsid w:val="530DC666"/>
    <w:rsid w:val="531AAEE8"/>
    <w:rsid w:val="53336227"/>
    <w:rsid w:val="535326E6"/>
    <w:rsid w:val="53646490"/>
    <w:rsid w:val="53792835"/>
    <w:rsid w:val="53852B4F"/>
    <w:rsid w:val="53AB2267"/>
    <w:rsid w:val="53D03A76"/>
    <w:rsid w:val="53FF06A3"/>
    <w:rsid w:val="54175F75"/>
    <w:rsid w:val="54286440"/>
    <w:rsid w:val="5436056F"/>
    <w:rsid w:val="543C2AC4"/>
    <w:rsid w:val="54404D77"/>
    <w:rsid w:val="54482651"/>
    <w:rsid w:val="548039A5"/>
    <w:rsid w:val="5483815C"/>
    <w:rsid w:val="54C54144"/>
    <w:rsid w:val="54D099DD"/>
    <w:rsid w:val="54D290F9"/>
    <w:rsid w:val="54E5872F"/>
    <w:rsid w:val="54E7958F"/>
    <w:rsid w:val="551A1BF1"/>
    <w:rsid w:val="551C2C91"/>
    <w:rsid w:val="552D700F"/>
    <w:rsid w:val="55423BE4"/>
    <w:rsid w:val="55592E6C"/>
    <w:rsid w:val="556839E8"/>
    <w:rsid w:val="556E922D"/>
    <w:rsid w:val="5581CF07"/>
    <w:rsid w:val="558596BF"/>
    <w:rsid w:val="559A5D21"/>
    <w:rsid w:val="55F89DCE"/>
    <w:rsid w:val="56043639"/>
    <w:rsid w:val="561F2F60"/>
    <w:rsid w:val="5652B928"/>
    <w:rsid w:val="5657CF64"/>
    <w:rsid w:val="56621A92"/>
    <w:rsid w:val="56803540"/>
    <w:rsid w:val="5681B836"/>
    <w:rsid w:val="56966CDE"/>
    <w:rsid w:val="56B502BC"/>
    <w:rsid w:val="56E6FCE6"/>
    <w:rsid w:val="57081BF6"/>
    <w:rsid w:val="57229B90"/>
    <w:rsid w:val="57494BF1"/>
    <w:rsid w:val="5769A495"/>
    <w:rsid w:val="5792B922"/>
    <w:rsid w:val="57995CD4"/>
    <w:rsid w:val="57AB50DC"/>
    <w:rsid w:val="57B5A36D"/>
    <w:rsid w:val="57C88982"/>
    <w:rsid w:val="57D720D2"/>
    <w:rsid w:val="581C073E"/>
    <w:rsid w:val="583D16C5"/>
    <w:rsid w:val="5849BCDC"/>
    <w:rsid w:val="5854005F"/>
    <w:rsid w:val="58864D9C"/>
    <w:rsid w:val="588F0B3B"/>
    <w:rsid w:val="58910AD4"/>
    <w:rsid w:val="58CA0A43"/>
    <w:rsid w:val="58DD5D3A"/>
    <w:rsid w:val="58DF7FCA"/>
    <w:rsid w:val="58EB7546"/>
    <w:rsid w:val="58FB613A"/>
    <w:rsid w:val="5907D43C"/>
    <w:rsid w:val="59145298"/>
    <w:rsid w:val="59179DF1"/>
    <w:rsid w:val="592D6069"/>
    <w:rsid w:val="59327071"/>
    <w:rsid w:val="5940C4DC"/>
    <w:rsid w:val="597AF751"/>
    <w:rsid w:val="598D9CA6"/>
    <w:rsid w:val="59A15256"/>
    <w:rsid w:val="59A73449"/>
    <w:rsid w:val="59BF1158"/>
    <w:rsid w:val="59CD464A"/>
    <w:rsid w:val="59D32C25"/>
    <w:rsid w:val="59DB064B"/>
    <w:rsid w:val="59E96347"/>
    <w:rsid w:val="5A20FDCA"/>
    <w:rsid w:val="5A2B8E9C"/>
    <w:rsid w:val="5A388A59"/>
    <w:rsid w:val="5A3957A4"/>
    <w:rsid w:val="5A417E28"/>
    <w:rsid w:val="5A588150"/>
    <w:rsid w:val="5A693815"/>
    <w:rsid w:val="5A7043FC"/>
    <w:rsid w:val="5A9ADF14"/>
    <w:rsid w:val="5AAEB647"/>
    <w:rsid w:val="5ABAA5C2"/>
    <w:rsid w:val="5AC45AA3"/>
    <w:rsid w:val="5AC54C2A"/>
    <w:rsid w:val="5B154DA0"/>
    <w:rsid w:val="5B184293"/>
    <w:rsid w:val="5B19A229"/>
    <w:rsid w:val="5B1A631F"/>
    <w:rsid w:val="5B3D8F94"/>
    <w:rsid w:val="5B3FE1FA"/>
    <w:rsid w:val="5B5BFA3D"/>
    <w:rsid w:val="5B63FE16"/>
    <w:rsid w:val="5B774438"/>
    <w:rsid w:val="5B7F28DC"/>
    <w:rsid w:val="5B9DA635"/>
    <w:rsid w:val="5BA1DB0E"/>
    <w:rsid w:val="5BA31F23"/>
    <w:rsid w:val="5BB7EE66"/>
    <w:rsid w:val="5BBB0A6F"/>
    <w:rsid w:val="5BCD1AD7"/>
    <w:rsid w:val="5BF5D056"/>
    <w:rsid w:val="5BFCA859"/>
    <w:rsid w:val="5C47C37B"/>
    <w:rsid w:val="5C7479A8"/>
    <w:rsid w:val="5C75EA68"/>
    <w:rsid w:val="5C7AAA73"/>
    <w:rsid w:val="5C973081"/>
    <w:rsid w:val="5CB45DBE"/>
    <w:rsid w:val="5CBB3903"/>
    <w:rsid w:val="5CD3C32E"/>
    <w:rsid w:val="5CDF7361"/>
    <w:rsid w:val="5CEC0B9D"/>
    <w:rsid w:val="5CF4D18B"/>
    <w:rsid w:val="5CFCD9D5"/>
    <w:rsid w:val="5D0811FC"/>
    <w:rsid w:val="5DA3A4CB"/>
    <w:rsid w:val="5DBD1D1E"/>
    <w:rsid w:val="5E16B015"/>
    <w:rsid w:val="5E3DB736"/>
    <w:rsid w:val="5E4D4CD1"/>
    <w:rsid w:val="5E684849"/>
    <w:rsid w:val="5EA6CF85"/>
    <w:rsid w:val="5EAD0457"/>
    <w:rsid w:val="5EB5B8A3"/>
    <w:rsid w:val="5EC14311"/>
    <w:rsid w:val="5ED253B1"/>
    <w:rsid w:val="5EEF23C9"/>
    <w:rsid w:val="5EF351E5"/>
    <w:rsid w:val="5EF77F9C"/>
    <w:rsid w:val="5F042A75"/>
    <w:rsid w:val="5F189812"/>
    <w:rsid w:val="5F1B24B5"/>
    <w:rsid w:val="5F1BB916"/>
    <w:rsid w:val="5F72F9D0"/>
    <w:rsid w:val="5F8601BC"/>
    <w:rsid w:val="5F94CF1B"/>
    <w:rsid w:val="5FB2D226"/>
    <w:rsid w:val="5FC50B10"/>
    <w:rsid w:val="603BF5F4"/>
    <w:rsid w:val="6042DBF0"/>
    <w:rsid w:val="605F1AFA"/>
    <w:rsid w:val="606B2057"/>
    <w:rsid w:val="60A2FB30"/>
    <w:rsid w:val="60BA165D"/>
    <w:rsid w:val="60BBF96B"/>
    <w:rsid w:val="60CC22A0"/>
    <w:rsid w:val="60CF22C5"/>
    <w:rsid w:val="60CF36C1"/>
    <w:rsid w:val="60E67C34"/>
    <w:rsid w:val="60F355DB"/>
    <w:rsid w:val="610D730D"/>
    <w:rsid w:val="615232B0"/>
    <w:rsid w:val="615298C4"/>
    <w:rsid w:val="6167DA1D"/>
    <w:rsid w:val="61683D95"/>
    <w:rsid w:val="616849CD"/>
    <w:rsid w:val="61701038"/>
    <w:rsid w:val="619234F5"/>
    <w:rsid w:val="61AEBD42"/>
    <w:rsid w:val="61EB1F7A"/>
    <w:rsid w:val="622ECC76"/>
    <w:rsid w:val="624F2E06"/>
    <w:rsid w:val="6261FC1B"/>
    <w:rsid w:val="6293465C"/>
    <w:rsid w:val="62AC6783"/>
    <w:rsid w:val="62AE4747"/>
    <w:rsid w:val="62B98AEB"/>
    <w:rsid w:val="62F8FB78"/>
    <w:rsid w:val="632131C5"/>
    <w:rsid w:val="632DE517"/>
    <w:rsid w:val="633B7C15"/>
    <w:rsid w:val="63420D59"/>
    <w:rsid w:val="6350DB8F"/>
    <w:rsid w:val="639DF120"/>
    <w:rsid w:val="63AE5FEB"/>
    <w:rsid w:val="63B02EB5"/>
    <w:rsid w:val="63B8610C"/>
    <w:rsid w:val="63B8D2FE"/>
    <w:rsid w:val="63D75A52"/>
    <w:rsid w:val="63DA9BF2"/>
    <w:rsid w:val="63DD327F"/>
    <w:rsid w:val="63DD659D"/>
    <w:rsid w:val="63F8495F"/>
    <w:rsid w:val="640424EA"/>
    <w:rsid w:val="642DE020"/>
    <w:rsid w:val="644BBF29"/>
    <w:rsid w:val="644E9B08"/>
    <w:rsid w:val="644FB410"/>
    <w:rsid w:val="646ABF5D"/>
    <w:rsid w:val="6473D0E2"/>
    <w:rsid w:val="648135BA"/>
    <w:rsid w:val="648197B2"/>
    <w:rsid w:val="648B6483"/>
    <w:rsid w:val="649116BB"/>
    <w:rsid w:val="64B23499"/>
    <w:rsid w:val="64C8D321"/>
    <w:rsid w:val="64D22E4F"/>
    <w:rsid w:val="64D495F2"/>
    <w:rsid w:val="64DDF2C2"/>
    <w:rsid w:val="64DE0FF4"/>
    <w:rsid w:val="6500EF37"/>
    <w:rsid w:val="650B3A52"/>
    <w:rsid w:val="652B1180"/>
    <w:rsid w:val="653C4A0E"/>
    <w:rsid w:val="654AA51E"/>
    <w:rsid w:val="655B29FF"/>
    <w:rsid w:val="655D400B"/>
    <w:rsid w:val="655DD673"/>
    <w:rsid w:val="655E2A5F"/>
    <w:rsid w:val="65B37325"/>
    <w:rsid w:val="65EC3337"/>
    <w:rsid w:val="65F67D07"/>
    <w:rsid w:val="662044D7"/>
    <w:rsid w:val="6630FD36"/>
    <w:rsid w:val="66332A80"/>
    <w:rsid w:val="6636C3F4"/>
    <w:rsid w:val="666B4D07"/>
    <w:rsid w:val="66764B8D"/>
    <w:rsid w:val="669A5B53"/>
    <w:rsid w:val="66A62359"/>
    <w:rsid w:val="66EC0284"/>
    <w:rsid w:val="66F9106C"/>
    <w:rsid w:val="66FDF73D"/>
    <w:rsid w:val="670A2012"/>
    <w:rsid w:val="67253FFA"/>
    <w:rsid w:val="6770649F"/>
    <w:rsid w:val="67866391"/>
    <w:rsid w:val="67B2CF91"/>
    <w:rsid w:val="67B46E34"/>
    <w:rsid w:val="67B932A2"/>
    <w:rsid w:val="67D404B7"/>
    <w:rsid w:val="67ED6F46"/>
    <w:rsid w:val="681202FC"/>
    <w:rsid w:val="681871DC"/>
    <w:rsid w:val="68270C7F"/>
    <w:rsid w:val="6856C250"/>
    <w:rsid w:val="68597D23"/>
    <w:rsid w:val="68628A61"/>
    <w:rsid w:val="6864175E"/>
    <w:rsid w:val="6874C361"/>
    <w:rsid w:val="68A3B627"/>
    <w:rsid w:val="68BF821A"/>
    <w:rsid w:val="68C3A68F"/>
    <w:rsid w:val="68C51C58"/>
    <w:rsid w:val="69137ED3"/>
    <w:rsid w:val="6932719E"/>
    <w:rsid w:val="6938E697"/>
    <w:rsid w:val="694F5843"/>
    <w:rsid w:val="6983E5A2"/>
    <w:rsid w:val="69AAE5E0"/>
    <w:rsid w:val="69B2F1BC"/>
    <w:rsid w:val="69BFEAD7"/>
    <w:rsid w:val="69E51E7F"/>
    <w:rsid w:val="6A03F1C5"/>
    <w:rsid w:val="6A330F78"/>
    <w:rsid w:val="6A39E2EF"/>
    <w:rsid w:val="6A3D400B"/>
    <w:rsid w:val="6A52EB5B"/>
    <w:rsid w:val="6A55B8D7"/>
    <w:rsid w:val="6A597FB9"/>
    <w:rsid w:val="6A5EF9CA"/>
    <w:rsid w:val="6AAA3269"/>
    <w:rsid w:val="6AABAADB"/>
    <w:rsid w:val="6AB65E98"/>
    <w:rsid w:val="6AB9DC02"/>
    <w:rsid w:val="6AC71727"/>
    <w:rsid w:val="6AD60552"/>
    <w:rsid w:val="6AF4E4CE"/>
    <w:rsid w:val="6B09F3BE"/>
    <w:rsid w:val="6B16F36F"/>
    <w:rsid w:val="6B3ED427"/>
    <w:rsid w:val="6B45CF32"/>
    <w:rsid w:val="6B68122A"/>
    <w:rsid w:val="6B74E207"/>
    <w:rsid w:val="6B7968EB"/>
    <w:rsid w:val="6B7ADEC6"/>
    <w:rsid w:val="6BA198AE"/>
    <w:rsid w:val="6BAC1F5A"/>
    <w:rsid w:val="6BB05AA7"/>
    <w:rsid w:val="6BBFC616"/>
    <w:rsid w:val="6BC891AD"/>
    <w:rsid w:val="6BDD2401"/>
    <w:rsid w:val="6BF41107"/>
    <w:rsid w:val="6C028E1C"/>
    <w:rsid w:val="6C0308EE"/>
    <w:rsid w:val="6C09D153"/>
    <w:rsid w:val="6C21A0E6"/>
    <w:rsid w:val="6C24E2E1"/>
    <w:rsid w:val="6C267509"/>
    <w:rsid w:val="6C54DA73"/>
    <w:rsid w:val="6C5E06A1"/>
    <w:rsid w:val="6C66A4D7"/>
    <w:rsid w:val="6CA89900"/>
    <w:rsid w:val="6CA96A8C"/>
    <w:rsid w:val="6CD4247F"/>
    <w:rsid w:val="6CEA7AAE"/>
    <w:rsid w:val="6CEB16D8"/>
    <w:rsid w:val="6CF3EAD9"/>
    <w:rsid w:val="6CF5A789"/>
    <w:rsid w:val="6CF7257F"/>
    <w:rsid w:val="6CF8DCBC"/>
    <w:rsid w:val="6D06A770"/>
    <w:rsid w:val="6D309EC5"/>
    <w:rsid w:val="6D4948D0"/>
    <w:rsid w:val="6D50D960"/>
    <w:rsid w:val="6D6AF8EF"/>
    <w:rsid w:val="6D6B5F19"/>
    <w:rsid w:val="6D7EA2A7"/>
    <w:rsid w:val="6DADDD20"/>
    <w:rsid w:val="6DB83BFF"/>
    <w:rsid w:val="6DBAABDA"/>
    <w:rsid w:val="6DDEBD92"/>
    <w:rsid w:val="6DEDFA1D"/>
    <w:rsid w:val="6DF06B0A"/>
    <w:rsid w:val="6E4B59EE"/>
    <w:rsid w:val="6E5D9F2C"/>
    <w:rsid w:val="6E74C74F"/>
    <w:rsid w:val="6E794848"/>
    <w:rsid w:val="6E86D0CF"/>
    <w:rsid w:val="6E999455"/>
    <w:rsid w:val="6E9CC4A0"/>
    <w:rsid w:val="6EBE49E7"/>
    <w:rsid w:val="6EBEC3CF"/>
    <w:rsid w:val="6EC092BC"/>
    <w:rsid w:val="6EC60708"/>
    <w:rsid w:val="6ED00725"/>
    <w:rsid w:val="6ED143DA"/>
    <w:rsid w:val="6ED9838C"/>
    <w:rsid w:val="6EE99AF4"/>
    <w:rsid w:val="6EF27184"/>
    <w:rsid w:val="6EFE36C4"/>
    <w:rsid w:val="6F04D1B3"/>
    <w:rsid w:val="6F225634"/>
    <w:rsid w:val="6F2D9A27"/>
    <w:rsid w:val="6F32B7D0"/>
    <w:rsid w:val="6F8C9073"/>
    <w:rsid w:val="6FAC4D71"/>
    <w:rsid w:val="6FB794F4"/>
    <w:rsid w:val="6FB7DBC2"/>
    <w:rsid w:val="6FB9B0AA"/>
    <w:rsid w:val="6FDF0659"/>
    <w:rsid w:val="6FEF41C8"/>
    <w:rsid w:val="6FF260E6"/>
    <w:rsid w:val="7011118C"/>
    <w:rsid w:val="7026ED7B"/>
    <w:rsid w:val="7049DD36"/>
    <w:rsid w:val="704F872F"/>
    <w:rsid w:val="706172D5"/>
    <w:rsid w:val="70A786AA"/>
    <w:rsid w:val="70BA3590"/>
    <w:rsid w:val="70D60D9E"/>
    <w:rsid w:val="70D8B2E3"/>
    <w:rsid w:val="70DF86A2"/>
    <w:rsid w:val="70E2A0A7"/>
    <w:rsid w:val="70F5551E"/>
    <w:rsid w:val="70FCB8FD"/>
    <w:rsid w:val="7127A0E8"/>
    <w:rsid w:val="712D5489"/>
    <w:rsid w:val="7140A0DF"/>
    <w:rsid w:val="716D7628"/>
    <w:rsid w:val="7179DCFB"/>
    <w:rsid w:val="7180FF39"/>
    <w:rsid w:val="71BB88F0"/>
    <w:rsid w:val="71BEE156"/>
    <w:rsid w:val="71BF03C1"/>
    <w:rsid w:val="71C67B76"/>
    <w:rsid w:val="71D9764C"/>
    <w:rsid w:val="71EE943D"/>
    <w:rsid w:val="720850A7"/>
    <w:rsid w:val="7214B52A"/>
    <w:rsid w:val="72285EF4"/>
    <w:rsid w:val="722B5A4A"/>
    <w:rsid w:val="72425A20"/>
    <w:rsid w:val="724CC83F"/>
    <w:rsid w:val="7279D5ED"/>
    <w:rsid w:val="727F4A16"/>
    <w:rsid w:val="728618F3"/>
    <w:rsid w:val="72A9935B"/>
    <w:rsid w:val="72AAB792"/>
    <w:rsid w:val="72BF89D3"/>
    <w:rsid w:val="72C83D7D"/>
    <w:rsid w:val="72CA41B1"/>
    <w:rsid w:val="72D496A8"/>
    <w:rsid w:val="72D6556B"/>
    <w:rsid w:val="72DE272D"/>
    <w:rsid w:val="72E2DE04"/>
    <w:rsid w:val="72EB6F55"/>
    <w:rsid w:val="732E57DF"/>
    <w:rsid w:val="73340779"/>
    <w:rsid w:val="73344F5B"/>
    <w:rsid w:val="7376554F"/>
    <w:rsid w:val="738C6C1E"/>
    <w:rsid w:val="739E9A45"/>
    <w:rsid w:val="73BE6B17"/>
    <w:rsid w:val="73E93FB1"/>
    <w:rsid w:val="73FEF419"/>
    <w:rsid w:val="7417A7F9"/>
    <w:rsid w:val="742A035C"/>
    <w:rsid w:val="745DD971"/>
    <w:rsid w:val="7486E1D1"/>
    <w:rsid w:val="74935930"/>
    <w:rsid w:val="74AFDB30"/>
    <w:rsid w:val="74C0AC5C"/>
    <w:rsid w:val="74C8BED0"/>
    <w:rsid w:val="74E59E9E"/>
    <w:rsid w:val="752FB052"/>
    <w:rsid w:val="75350E7A"/>
    <w:rsid w:val="7539E331"/>
    <w:rsid w:val="755C3C3C"/>
    <w:rsid w:val="7565E7CD"/>
    <w:rsid w:val="7572425C"/>
    <w:rsid w:val="75C7E60E"/>
    <w:rsid w:val="75CDD70C"/>
    <w:rsid w:val="75D5D9C0"/>
    <w:rsid w:val="75DE1819"/>
    <w:rsid w:val="75E9C5D9"/>
    <w:rsid w:val="761532E3"/>
    <w:rsid w:val="76235538"/>
    <w:rsid w:val="762D0366"/>
    <w:rsid w:val="76302F2F"/>
    <w:rsid w:val="766B5606"/>
    <w:rsid w:val="76737F40"/>
    <w:rsid w:val="7676C4EE"/>
    <w:rsid w:val="76B648A9"/>
    <w:rsid w:val="76DCDDCA"/>
    <w:rsid w:val="76F91902"/>
    <w:rsid w:val="7735C4DE"/>
    <w:rsid w:val="776CA9A1"/>
    <w:rsid w:val="77922292"/>
    <w:rsid w:val="7797FBE4"/>
    <w:rsid w:val="77A50538"/>
    <w:rsid w:val="77B6C455"/>
    <w:rsid w:val="77BCFF57"/>
    <w:rsid w:val="77C80EE9"/>
    <w:rsid w:val="77D5FBF4"/>
    <w:rsid w:val="77E2F164"/>
    <w:rsid w:val="77E4FD6C"/>
    <w:rsid w:val="77ED520B"/>
    <w:rsid w:val="780762B7"/>
    <w:rsid w:val="7815E52E"/>
    <w:rsid w:val="784547DB"/>
    <w:rsid w:val="784D5E45"/>
    <w:rsid w:val="785970BD"/>
    <w:rsid w:val="7883EED9"/>
    <w:rsid w:val="7885B993"/>
    <w:rsid w:val="78978525"/>
    <w:rsid w:val="78B3BBD5"/>
    <w:rsid w:val="78B64FA6"/>
    <w:rsid w:val="78BC569D"/>
    <w:rsid w:val="78FBB79B"/>
    <w:rsid w:val="79070665"/>
    <w:rsid w:val="790CAE4D"/>
    <w:rsid w:val="791CBE6F"/>
    <w:rsid w:val="7937177F"/>
    <w:rsid w:val="795EFB3E"/>
    <w:rsid w:val="796C808B"/>
    <w:rsid w:val="797012DB"/>
    <w:rsid w:val="7997F485"/>
    <w:rsid w:val="79A1D414"/>
    <w:rsid w:val="79B9F89E"/>
    <w:rsid w:val="79C92D17"/>
    <w:rsid w:val="79E36DAD"/>
    <w:rsid w:val="7A14E42E"/>
    <w:rsid w:val="7A26CBEB"/>
    <w:rsid w:val="7A375F1E"/>
    <w:rsid w:val="7A3C45C8"/>
    <w:rsid w:val="7A53589B"/>
    <w:rsid w:val="7A5DC4EF"/>
    <w:rsid w:val="7A8615B3"/>
    <w:rsid w:val="7AB1735B"/>
    <w:rsid w:val="7ACE78C0"/>
    <w:rsid w:val="7AE0183A"/>
    <w:rsid w:val="7AEA6332"/>
    <w:rsid w:val="7AEDC466"/>
    <w:rsid w:val="7B0100C5"/>
    <w:rsid w:val="7B1E2532"/>
    <w:rsid w:val="7B4DAC82"/>
    <w:rsid w:val="7B71D599"/>
    <w:rsid w:val="7BB24882"/>
    <w:rsid w:val="7BB2BFD1"/>
    <w:rsid w:val="7BB2F88E"/>
    <w:rsid w:val="7BB70492"/>
    <w:rsid w:val="7BC5E3B5"/>
    <w:rsid w:val="7BCA7F8A"/>
    <w:rsid w:val="7BCA8CE4"/>
    <w:rsid w:val="7BEF6384"/>
    <w:rsid w:val="7C202E62"/>
    <w:rsid w:val="7C28AC00"/>
    <w:rsid w:val="7C2BAF1C"/>
    <w:rsid w:val="7C2F3902"/>
    <w:rsid w:val="7C3185C6"/>
    <w:rsid w:val="7C79B984"/>
    <w:rsid w:val="7CA9BB02"/>
    <w:rsid w:val="7CB46005"/>
    <w:rsid w:val="7CB9A9EC"/>
    <w:rsid w:val="7CD51E4B"/>
    <w:rsid w:val="7CDDD9A9"/>
    <w:rsid w:val="7CE69DB6"/>
    <w:rsid w:val="7CF722C5"/>
    <w:rsid w:val="7D3EC15E"/>
    <w:rsid w:val="7D79C8F2"/>
    <w:rsid w:val="7DC50FBC"/>
    <w:rsid w:val="7DC63893"/>
    <w:rsid w:val="7DF5EBEE"/>
    <w:rsid w:val="7E27CD74"/>
    <w:rsid w:val="7E36DE2A"/>
    <w:rsid w:val="7E3AB859"/>
    <w:rsid w:val="7E3C978B"/>
    <w:rsid w:val="7E3DB42D"/>
    <w:rsid w:val="7E3FE241"/>
    <w:rsid w:val="7E71BD0B"/>
    <w:rsid w:val="7E71FBA8"/>
    <w:rsid w:val="7E78E76E"/>
    <w:rsid w:val="7E7A929F"/>
    <w:rsid w:val="7E830AB8"/>
    <w:rsid w:val="7E85F0F9"/>
    <w:rsid w:val="7E95E978"/>
    <w:rsid w:val="7EE27797"/>
    <w:rsid w:val="7F050BCA"/>
    <w:rsid w:val="7F1758D3"/>
    <w:rsid w:val="7F207B59"/>
    <w:rsid w:val="7F2BFC0E"/>
    <w:rsid w:val="7F3F3302"/>
    <w:rsid w:val="7F40CF7F"/>
    <w:rsid w:val="7F498F96"/>
    <w:rsid w:val="7F4AE45E"/>
    <w:rsid w:val="7F78B628"/>
    <w:rsid w:val="7F7906BF"/>
    <w:rsid w:val="7F807C03"/>
    <w:rsid w:val="7F97B489"/>
    <w:rsid w:val="7F98011F"/>
    <w:rsid w:val="7FCB374A"/>
    <w:rsid w:val="7FCEBF7F"/>
    <w:rsid w:val="7FD056EF"/>
    <w:rsid w:val="7FDCEBBA"/>
    <w:rsid w:val="7FEB89AC"/>
    <w:rsid w:val="7FEFF5B5"/>
    <w:rsid w:val="7FF635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EE94"/>
  <w15:chartTrackingRefBased/>
  <w15:docId w15:val="{1948A6E6-525C-4129-93FB-AC658B0F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805"/>
  </w:style>
  <w:style w:type="paragraph" w:styleId="Heading1">
    <w:name w:val="heading 1"/>
    <w:basedOn w:val="Normal"/>
    <w:next w:val="Normal"/>
    <w:link w:val="Heading1Char"/>
    <w:uiPriority w:val="9"/>
    <w:qFormat/>
    <w:rsid w:val="00722707"/>
    <w:pPr>
      <w:keepNext/>
      <w:keepLines/>
      <w:numPr>
        <w:numId w:val="4"/>
      </w:numPr>
      <w:spacing w:before="240" w:after="80"/>
      <w:outlineLvl w:val="0"/>
    </w:pPr>
    <w:rPr>
      <w:rFonts w:asciiTheme="majorHAnsi" w:eastAsiaTheme="majorEastAsia" w:hAnsiTheme="majorHAnsi" w:cstheme="majorBidi"/>
      <w:color w:val="44546A" w:themeColor="text2"/>
      <w:sz w:val="48"/>
      <w:szCs w:val="32"/>
    </w:rPr>
  </w:style>
  <w:style w:type="paragraph" w:styleId="Heading2">
    <w:name w:val="heading 2"/>
    <w:basedOn w:val="Normal"/>
    <w:next w:val="Normal"/>
    <w:link w:val="Heading2Char"/>
    <w:uiPriority w:val="9"/>
    <w:unhideWhenUsed/>
    <w:qFormat/>
    <w:rsid w:val="008976F6"/>
    <w:pPr>
      <w:keepNext/>
      <w:keepLines/>
      <w:numPr>
        <w:ilvl w:val="1"/>
        <w:numId w:val="4"/>
      </w:numPr>
      <w:spacing w:before="40" w:after="40"/>
      <w:outlineLvl w:val="1"/>
    </w:pPr>
    <w:rPr>
      <w:rFonts w:asciiTheme="majorHAnsi" w:eastAsiaTheme="majorEastAsia" w:hAnsiTheme="majorHAnsi" w:cstheme="majorBidi"/>
      <w:color w:val="44546A"/>
      <w:sz w:val="40"/>
      <w:szCs w:val="48"/>
    </w:rPr>
  </w:style>
  <w:style w:type="paragraph" w:styleId="Heading3">
    <w:name w:val="heading 3"/>
    <w:basedOn w:val="Normal"/>
    <w:next w:val="Normal"/>
    <w:link w:val="Heading3Char"/>
    <w:uiPriority w:val="9"/>
    <w:unhideWhenUsed/>
    <w:qFormat/>
    <w:rsid w:val="004E2328"/>
    <w:pPr>
      <w:keepNext/>
      <w:keepLines/>
      <w:numPr>
        <w:ilvl w:val="2"/>
        <w:numId w:val="4"/>
      </w:numPr>
      <w:spacing w:before="40" w:after="0"/>
      <w:outlineLvl w:val="2"/>
    </w:pPr>
    <w:rPr>
      <w:rFonts w:asciiTheme="majorHAnsi" w:eastAsiaTheme="majorEastAsia" w:hAnsiTheme="majorHAnsi" w:cstheme="majorBidi"/>
      <w:b/>
      <w:bCs/>
      <w:color w:val="767171" w:themeColor="background2" w:themeShade="80"/>
      <w:sz w:val="28"/>
      <w:szCs w:val="36"/>
    </w:rPr>
  </w:style>
  <w:style w:type="paragraph" w:styleId="Heading4">
    <w:name w:val="heading 4"/>
    <w:basedOn w:val="Normal"/>
    <w:next w:val="Normal"/>
    <w:link w:val="Heading4Char"/>
    <w:uiPriority w:val="9"/>
    <w:unhideWhenUsed/>
    <w:qFormat/>
    <w:rsid w:val="004E2328"/>
    <w:pPr>
      <w:keepNext/>
      <w:keepLines/>
      <w:numPr>
        <w:ilvl w:val="3"/>
        <w:numId w:val="4"/>
      </w:numPr>
      <w:spacing w:before="40" w:after="0"/>
      <w:outlineLvl w:val="3"/>
    </w:pPr>
    <w:rPr>
      <w:rFonts w:asciiTheme="majorHAnsi" w:eastAsiaTheme="majorEastAsia" w:hAnsiTheme="majorHAnsi" w:cstheme="majorBidi"/>
      <w:i/>
      <w:color w:val="44546A"/>
      <w:sz w:val="24"/>
      <w:szCs w:val="24"/>
    </w:rPr>
  </w:style>
  <w:style w:type="paragraph" w:styleId="Heading5">
    <w:name w:val="heading 5"/>
    <w:basedOn w:val="Normal"/>
    <w:next w:val="Normal"/>
    <w:link w:val="Heading5Char"/>
    <w:uiPriority w:val="9"/>
    <w:unhideWhenUsed/>
    <w:qFormat/>
    <w:rsid w:val="00842805"/>
    <w:pPr>
      <w:keepNext/>
      <w:keepLines/>
      <w:numPr>
        <w:ilvl w:val="4"/>
        <w:numId w:val="4"/>
      </w:numPr>
      <w:spacing w:before="40" w:after="0"/>
      <w:outlineLvl w:val="4"/>
    </w:pPr>
    <w:rPr>
      <w:rFonts w:asciiTheme="majorHAnsi" w:eastAsiaTheme="majorEastAsia" w:hAnsiTheme="majorHAnsi" w:cstheme="majorBidi"/>
      <w:color w:val="44546A" w:themeColor="text2"/>
      <w:sz w:val="26"/>
      <w:szCs w:val="26"/>
    </w:rPr>
  </w:style>
  <w:style w:type="paragraph" w:styleId="Heading6">
    <w:name w:val="heading 6"/>
    <w:basedOn w:val="Normal"/>
    <w:next w:val="Normal"/>
    <w:link w:val="Heading6Char"/>
    <w:uiPriority w:val="9"/>
    <w:unhideWhenUsed/>
    <w:qFormat/>
    <w:rsid w:val="00842805"/>
    <w:pPr>
      <w:keepNext/>
      <w:keepLines/>
      <w:numPr>
        <w:ilvl w:val="5"/>
        <w:numId w:val="4"/>
      </w:numPr>
      <w:spacing w:before="40" w:after="0"/>
      <w:outlineLvl w:val="5"/>
    </w:pPr>
    <w:rPr>
      <w:rFonts w:asciiTheme="majorHAnsi" w:eastAsiaTheme="majorEastAsia" w:hAnsiTheme="majorHAnsi" w:cstheme="majorBidi"/>
      <w:color w:val="A5A5A5" w:themeColor="accent3"/>
    </w:rPr>
  </w:style>
  <w:style w:type="paragraph" w:styleId="Heading7">
    <w:name w:val="heading 7"/>
    <w:basedOn w:val="Normal"/>
    <w:next w:val="Normal"/>
    <w:link w:val="Heading7Char"/>
    <w:uiPriority w:val="9"/>
    <w:unhideWhenUsed/>
    <w:qFormat/>
    <w:rsid w:val="00007BFD"/>
    <w:pPr>
      <w:keepNext/>
      <w:keepLines/>
      <w:numPr>
        <w:ilvl w:val="6"/>
        <w:numId w:val="4"/>
      </w:numPr>
      <w:spacing w:before="40" w:after="0"/>
      <w:outlineLvl w:val="6"/>
    </w:pPr>
    <w:rPr>
      <w:rFonts w:asciiTheme="majorHAnsi" w:eastAsiaTheme="majorEastAsia" w:hAnsiTheme="majorHAnsi" w:cstheme="majorBidi"/>
      <w:i/>
      <w:iCs/>
      <w:color w:val="44546A" w:themeColor="text2"/>
      <w:u w:val="single"/>
    </w:rPr>
  </w:style>
  <w:style w:type="paragraph" w:styleId="Heading8">
    <w:name w:val="heading 8"/>
    <w:basedOn w:val="Normal"/>
    <w:next w:val="Normal"/>
    <w:link w:val="Heading8Char"/>
    <w:uiPriority w:val="9"/>
    <w:unhideWhenUsed/>
    <w:qFormat/>
    <w:rsid w:val="002D66E9"/>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343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Subtitle"/>
    <w:qFormat/>
    <w:rsid w:val="00842805"/>
    <w:pPr>
      <w:spacing w:after="0"/>
    </w:pPr>
    <w:rPr>
      <w:sz w:val="24"/>
    </w:rPr>
  </w:style>
  <w:style w:type="paragraph" w:styleId="Subtitle">
    <w:name w:val="Subtitle"/>
    <w:basedOn w:val="Normal"/>
    <w:next w:val="Normal"/>
    <w:link w:val="SubtitleChar"/>
    <w:uiPriority w:val="11"/>
    <w:qFormat/>
    <w:rsid w:val="00842805"/>
    <w:pPr>
      <w:numPr>
        <w:ilvl w:val="1"/>
      </w:numPr>
    </w:pPr>
    <w:rPr>
      <w:rFonts w:eastAsiaTheme="minorEastAsia"/>
      <w:color w:val="F6BD97" w:themeColor="accent2" w:themeTint="80"/>
      <w:sz w:val="40"/>
    </w:rPr>
  </w:style>
  <w:style w:type="character" w:customStyle="1" w:styleId="SubtitleChar">
    <w:name w:val="Subtitle Char"/>
    <w:basedOn w:val="DefaultParagraphFont"/>
    <w:link w:val="Subtitle"/>
    <w:uiPriority w:val="11"/>
    <w:rsid w:val="00842805"/>
    <w:rPr>
      <w:rFonts w:eastAsiaTheme="minorEastAsia"/>
      <w:color w:val="F6BD97" w:themeColor="accent2" w:themeTint="80"/>
      <w:sz w:val="40"/>
    </w:rPr>
  </w:style>
  <w:style w:type="paragraph" w:customStyle="1" w:styleId="Authoranddate">
    <w:name w:val="Author and date"/>
    <w:basedOn w:val="Subtitle"/>
    <w:link w:val="AuthoranddateChar"/>
    <w:qFormat/>
    <w:rsid w:val="00842805"/>
    <w:rPr>
      <w:color w:val="F19D64" w:themeColor="accent2" w:themeTint="BF"/>
      <w:szCs w:val="40"/>
    </w:rPr>
  </w:style>
  <w:style w:type="character" w:customStyle="1" w:styleId="AuthoranddateChar">
    <w:name w:val="Author and date Char"/>
    <w:basedOn w:val="SubtitleChar"/>
    <w:link w:val="Authoranddate"/>
    <w:rsid w:val="00842805"/>
    <w:rPr>
      <w:rFonts w:eastAsiaTheme="minorEastAsia"/>
      <w:color w:val="F19D64" w:themeColor="accent2" w:themeTint="BF"/>
      <w:sz w:val="40"/>
      <w:szCs w:val="40"/>
    </w:rPr>
  </w:style>
  <w:style w:type="paragraph" w:styleId="BalloonText">
    <w:name w:val="Balloon Text"/>
    <w:basedOn w:val="Normal"/>
    <w:link w:val="BalloonTextChar"/>
    <w:uiPriority w:val="99"/>
    <w:semiHidden/>
    <w:unhideWhenUsed/>
    <w:rsid w:val="00842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805"/>
    <w:rPr>
      <w:rFonts w:ascii="Segoe UI" w:hAnsi="Segoe UI" w:cs="Segoe UI"/>
      <w:sz w:val="18"/>
      <w:szCs w:val="18"/>
    </w:rPr>
  </w:style>
  <w:style w:type="paragraph" w:customStyle="1" w:styleId="Calloutbox">
    <w:name w:val="Call out box"/>
    <w:basedOn w:val="Normal"/>
    <w:qFormat/>
    <w:rsid w:val="00842805"/>
    <w:pPr>
      <w:pBdr>
        <w:top w:val="single" w:sz="4" w:space="6" w:color="FADECB" w:themeColor="accent2" w:themeTint="40"/>
        <w:left w:val="single" w:sz="4" w:space="4" w:color="FADECB" w:themeColor="accent2" w:themeTint="40"/>
        <w:bottom w:val="single" w:sz="4" w:space="6" w:color="FADECB" w:themeColor="accent2" w:themeTint="40"/>
        <w:right w:val="single" w:sz="4" w:space="4" w:color="FADECB" w:themeColor="accent2" w:themeTint="40"/>
      </w:pBdr>
      <w:shd w:val="clear" w:color="auto" w:fill="FADECB" w:themeFill="accent2" w:themeFillTint="40"/>
      <w:contextualSpacing/>
    </w:pPr>
  </w:style>
  <w:style w:type="paragraph" w:styleId="Caption">
    <w:name w:val="caption"/>
    <w:basedOn w:val="Table"/>
    <w:next w:val="Normal"/>
    <w:uiPriority w:val="35"/>
    <w:unhideWhenUsed/>
    <w:qFormat/>
    <w:rsid w:val="00EC1864"/>
  </w:style>
  <w:style w:type="character" w:styleId="Emphasis">
    <w:name w:val="Emphasis"/>
    <w:basedOn w:val="DefaultParagraphFont"/>
    <w:uiPriority w:val="20"/>
    <w:qFormat/>
    <w:rsid w:val="00842805"/>
    <w:rPr>
      <w:i/>
      <w:iCs/>
    </w:rPr>
  </w:style>
  <w:style w:type="paragraph" w:styleId="Footer">
    <w:name w:val="footer"/>
    <w:basedOn w:val="Normal"/>
    <w:link w:val="FooterChar"/>
    <w:uiPriority w:val="99"/>
    <w:unhideWhenUsed/>
    <w:rsid w:val="00842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805"/>
  </w:style>
  <w:style w:type="table" w:styleId="GridTable1Light">
    <w:name w:val="Grid Table 1 Light"/>
    <w:basedOn w:val="TableNormal"/>
    <w:uiPriority w:val="46"/>
    <w:rsid w:val="008428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4280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84280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84280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84280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8428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84280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8428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842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805"/>
  </w:style>
  <w:style w:type="character" w:customStyle="1" w:styleId="Heading1Char">
    <w:name w:val="Heading 1 Char"/>
    <w:basedOn w:val="DefaultParagraphFont"/>
    <w:link w:val="Heading1"/>
    <w:uiPriority w:val="9"/>
    <w:rsid w:val="00842805"/>
    <w:rPr>
      <w:rFonts w:asciiTheme="majorHAnsi" w:eastAsiaTheme="majorEastAsia" w:hAnsiTheme="majorHAnsi" w:cstheme="majorBidi"/>
      <w:color w:val="44546A" w:themeColor="text2"/>
      <w:sz w:val="48"/>
      <w:szCs w:val="32"/>
    </w:rPr>
  </w:style>
  <w:style w:type="character" w:customStyle="1" w:styleId="Heading2Char">
    <w:name w:val="Heading 2 Char"/>
    <w:basedOn w:val="DefaultParagraphFont"/>
    <w:link w:val="Heading2"/>
    <w:uiPriority w:val="9"/>
    <w:rsid w:val="00842805"/>
    <w:rPr>
      <w:rFonts w:asciiTheme="majorHAnsi" w:eastAsiaTheme="majorEastAsia" w:hAnsiTheme="majorHAnsi" w:cstheme="majorBidi"/>
      <w:color w:val="44546A"/>
      <w:sz w:val="40"/>
      <w:szCs w:val="48"/>
    </w:rPr>
  </w:style>
  <w:style w:type="character" w:customStyle="1" w:styleId="Heading3Char">
    <w:name w:val="Heading 3 Char"/>
    <w:basedOn w:val="DefaultParagraphFont"/>
    <w:link w:val="Heading3"/>
    <w:uiPriority w:val="9"/>
    <w:rsid w:val="00842805"/>
    <w:rPr>
      <w:rFonts w:asciiTheme="majorHAnsi" w:eastAsiaTheme="majorEastAsia" w:hAnsiTheme="majorHAnsi" w:cstheme="majorBidi"/>
      <w:b/>
      <w:bCs/>
      <w:color w:val="767171" w:themeColor="background2" w:themeShade="80"/>
      <w:sz w:val="28"/>
      <w:szCs w:val="36"/>
    </w:rPr>
  </w:style>
  <w:style w:type="character" w:customStyle="1" w:styleId="Heading4Char">
    <w:name w:val="Heading 4 Char"/>
    <w:basedOn w:val="DefaultParagraphFont"/>
    <w:link w:val="Heading4"/>
    <w:uiPriority w:val="9"/>
    <w:rsid w:val="00842805"/>
    <w:rPr>
      <w:rFonts w:asciiTheme="majorHAnsi" w:eastAsiaTheme="majorEastAsia" w:hAnsiTheme="majorHAnsi" w:cstheme="majorBidi"/>
      <w:i/>
      <w:color w:val="44546A"/>
      <w:sz w:val="24"/>
      <w:szCs w:val="24"/>
    </w:rPr>
  </w:style>
  <w:style w:type="character" w:customStyle="1" w:styleId="Heading5Char">
    <w:name w:val="Heading 5 Char"/>
    <w:basedOn w:val="DefaultParagraphFont"/>
    <w:link w:val="Heading5"/>
    <w:uiPriority w:val="9"/>
    <w:rsid w:val="00842805"/>
    <w:rPr>
      <w:rFonts w:asciiTheme="majorHAnsi" w:eastAsiaTheme="majorEastAsia" w:hAnsiTheme="majorHAnsi" w:cstheme="majorBidi"/>
      <w:color w:val="44546A" w:themeColor="text2"/>
      <w:sz w:val="26"/>
      <w:szCs w:val="26"/>
    </w:rPr>
  </w:style>
  <w:style w:type="character" w:customStyle="1" w:styleId="Heading6Char">
    <w:name w:val="Heading 6 Char"/>
    <w:basedOn w:val="DefaultParagraphFont"/>
    <w:link w:val="Heading6"/>
    <w:uiPriority w:val="9"/>
    <w:rsid w:val="00842805"/>
    <w:rPr>
      <w:rFonts w:asciiTheme="majorHAnsi" w:eastAsiaTheme="majorEastAsia" w:hAnsiTheme="majorHAnsi" w:cstheme="majorBidi"/>
      <w:color w:val="A5A5A5" w:themeColor="accent3"/>
    </w:rPr>
  </w:style>
  <w:style w:type="character" w:customStyle="1" w:styleId="Heading7Char">
    <w:name w:val="Heading 7 Char"/>
    <w:basedOn w:val="DefaultParagraphFont"/>
    <w:link w:val="Heading7"/>
    <w:uiPriority w:val="9"/>
    <w:rsid w:val="00842805"/>
    <w:rPr>
      <w:rFonts w:asciiTheme="majorHAnsi" w:eastAsiaTheme="majorEastAsia" w:hAnsiTheme="majorHAnsi" w:cstheme="majorBidi"/>
      <w:i/>
      <w:iCs/>
      <w:color w:val="44546A" w:themeColor="text2"/>
      <w:u w:val="single"/>
    </w:rPr>
  </w:style>
  <w:style w:type="character" w:styleId="Hyperlink">
    <w:name w:val="Hyperlink"/>
    <w:basedOn w:val="DefaultParagraphFont"/>
    <w:uiPriority w:val="99"/>
    <w:unhideWhenUsed/>
    <w:rsid w:val="00842805"/>
    <w:rPr>
      <w:color w:val="0563C1" w:themeColor="hyperlink"/>
      <w:u w:val="single"/>
    </w:rPr>
  </w:style>
  <w:style w:type="paragraph" w:styleId="IntenseQuote">
    <w:name w:val="Intense Quote"/>
    <w:basedOn w:val="Normal"/>
    <w:next w:val="Normal"/>
    <w:link w:val="IntenseQuoteChar"/>
    <w:uiPriority w:val="30"/>
    <w:qFormat/>
    <w:rsid w:val="00842805"/>
    <w:pPr>
      <w:pBdr>
        <w:top w:val="single" w:sz="4" w:space="6" w:color="FADECB" w:themeColor="accent2" w:themeTint="40"/>
        <w:left w:val="single" w:sz="4" w:space="4" w:color="FADECB" w:themeColor="accent2" w:themeTint="40"/>
        <w:bottom w:val="single" w:sz="4" w:space="6" w:color="FADECB" w:themeColor="accent2" w:themeTint="40"/>
        <w:right w:val="single" w:sz="4" w:space="4" w:color="FADECB" w:themeColor="accent2" w:themeTint="40"/>
      </w:pBdr>
      <w:shd w:val="clear" w:color="auto" w:fill="FADECB" w:themeFill="accent2" w:themeFillTint="40"/>
      <w:spacing w:before="360" w:after="360"/>
      <w:ind w:left="864" w:right="864"/>
      <w:jc w:val="center"/>
    </w:pPr>
    <w:rPr>
      <w:i/>
      <w:iCs/>
    </w:rPr>
  </w:style>
  <w:style w:type="character" w:customStyle="1" w:styleId="IntenseQuoteChar">
    <w:name w:val="Intense Quote Char"/>
    <w:basedOn w:val="DefaultParagraphFont"/>
    <w:link w:val="IntenseQuote"/>
    <w:uiPriority w:val="30"/>
    <w:rsid w:val="00842805"/>
    <w:rPr>
      <w:i/>
      <w:iCs/>
      <w:shd w:val="clear" w:color="auto" w:fill="FADECB" w:themeFill="accent2" w:themeFillTint="40"/>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842805"/>
    <w:pPr>
      <w:contextualSpacing/>
    </w:pPr>
  </w:style>
  <w:style w:type="table" w:styleId="ListTable3-Accent2">
    <w:name w:val="List Table 3 Accent 2"/>
    <w:basedOn w:val="TableNormal"/>
    <w:uiPriority w:val="48"/>
    <w:rsid w:val="008428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84280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BBBBBB" w:themeFill="accent3" w:themeFillTint="BF"/>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84280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42805"/>
    <w:rPr>
      <w:rFonts w:eastAsiaTheme="minorEastAsia"/>
      <w:lang w:val="en-US"/>
    </w:rPr>
  </w:style>
  <w:style w:type="character" w:styleId="PlaceholderText">
    <w:name w:val="Placeholder Text"/>
    <w:basedOn w:val="DefaultParagraphFont"/>
    <w:uiPriority w:val="99"/>
    <w:semiHidden/>
    <w:rsid w:val="00842805"/>
    <w:rPr>
      <w:color w:val="808080"/>
    </w:rPr>
  </w:style>
  <w:style w:type="table" w:styleId="PlainTable2">
    <w:name w:val="Plain Table 2"/>
    <w:basedOn w:val="TableNormal"/>
    <w:uiPriority w:val="42"/>
    <w:rsid w:val="008428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29"/>
    <w:qFormat/>
    <w:rsid w:val="00842805"/>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842805"/>
    <w:rPr>
      <w:i/>
      <w:iCs/>
      <w:color w:val="000000" w:themeColor="text1"/>
      <w:szCs w:val="24"/>
    </w:rPr>
  </w:style>
  <w:style w:type="character" w:styleId="Strong">
    <w:name w:val="Strong"/>
    <w:basedOn w:val="DefaultParagraphFont"/>
    <w:uiPriority w:val="22"/>
    <w:qFormat/>
    <w:rsid w:val="00842805"/>
    <w:rPr>
      <w:b/>
      <w:bCs/>
    </w:rPr>
  </w:style>
  <w:style w:type="table" w:styleId="TableGrid">
    <w:name w:val="Table Grid"/>
    <w:basedOn w:val="TableNormal"/>
    <w:uiPriority w:val="39"/>
    <w:rsid w:val="00842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2805"/>
    <w:pPr>
      <w:pBdr>
        <w:bottom w:val="single" w:sz="8" w:space="1" w:color="44546A" w:themeColor="text2"/>
      </w:pBdr>
      <w:spacing w:before="3600" w:after="120" w:line="240" w:lineRule="auto"/>
      <w:contextualSpacing/>
      <w:outlineLvl w:val="0"/>
    </w:pPr>
    <w:rPr>
      <w:rFonts w:asciiTheme="majorHAnsi" w:eastAsiaTheme="majorEastAsia" w:hAnsiTheme="majorHAnsi" w:cstheme="majorBidi"/>
      <w:color w:val="44546A" w:themeColor="text2"/>
      <w:spacing w:val="-10"/>
      <w:kern w:val="28"/>
      <w:sz w:val="72"/>
      <w:szCs w:val="72"/>
    </w:rPr>
  </w:style>
  <w:style w:type="character" w:customStyle="1" w:styleId="TitleChar">
    <w:name w:val="Title Char"/>
    <w:basedOn w:val="DefaultParagraphFont"/>
    <w:link w:val="Title"/>
    <w:uiPriority w:val="10"/>
    <w:rsid w:val="00842805"/>
    <w:rPr>
      <w:rFonts w:asciiTheme="majorHAnsi" w:eastAsiaTheme="majorEastAsia" w:hAnsiTheme="majorHAnsi" w:cstheme="majorBidi"/>
      <w:color w:val="44546A" w:themeColor="text2"/>
      <w:spacing w:val="-10"/>
      <w:kern w:val="28"/>
      <w:sz w:val="72"/>
      <w:szCs w:val="72"/>
    </w:rPr>
  </w:style>
  <w:style w:type="paragraph" w:styleId="TOC1">
    <w:name w:val="toc 1"/>
    <w:basedOn w:val="Normal"/>
    <w:next w:val="Normal"/>
    <w:autoRedefine/>
    <w:uiPriority w:val="39"/>
    <w:unhideWhenUsed/>
    <w:rsid w:val="00FB021D"/>
    <w:pPr>
      <w:tabs>
        <w:tab w:val="left" w:pos="1100"/>
        <w:tab w:val="right" w:leader="dot" w:pos="9016"/>
      </w:tabs>
      <w:spacing w:after="100"/>
    </w:pPr>
  </w:style>
  <w:style w:type="paragraph" w:styleId="TOC2">
    <w:name w:val="toc 2"/>
    <w:basedOn w:val="Normal"/>
    <w:next w:val="Normal"/>
    <w:autoRedefine/>
    <w:uiPriority w:val="39"/>
    <w:unhideWhenUsed/>
    <w:rsid w:val="005875E4"/>
    <w:pPr>
      <w:tabs>
        <w:tab w:val="left" w:pos="1418"/>
        <w:tab w:val="right" w:leader="dot" w:pos="9016"/>
      </w:tabs>
      <w:spacing w:after="100"/>
      <w:ind w:left="221"/>
    </w:pPr>
  </w:style>
  <w:style w:type="paragraph" w:styleId="TOC3">
    <w:name w:val="toc 3"/>
    <w:basedOn w:val="Normal"/>
    <w:next w:val="Normal"/>
    <w:autoRedefine/>
    <w:uiPriority w:val="39"/>
    <w:unhideWhenUsed/>
    <w:rsid w:val="00842805"/>
    <w:pPr>
      <w:spacing w:after="100"/>
      <w:ind w:left="440"/>
    </w:pPr>
  </w:style>
  <w:style w:type="paragraph" w:styleId="TOCHeading">
    <w:name w:val="TOC Heading"/>
    <w:basedOn w:val="Heading1"/>
    <w:next w:val="Normal"/>
    <w:uiPriority w:val="39"/>
    <w:unhideWhenUsed/>
    <w:qFormat/>
    <w:rsid w:val="00842805"/>
    <w:pPr>
      <w:spacing w:after="480"/>
      <w:outlineLvl w:val="9"/>
    </w:pPr>
    <w:rPr>
      <w:lang w:val="en-US"/>
    </w:rPr>
  </w:style>
  <w:style w:type="table" w:styleId="PlainTable1">
    <w:name w:val="Plain Table 1"/>
    <w:basedOn w:val="TableNormal"/>
    <w:uiPriority w:val="41"/>
    <w:rsid w:val="00B23A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A4909"/>
    <w:rPr>
      <w:sz w:val="16"/>
      <w:szCs w:val="16"/>
    </w:rPr>
  </w:style>
  <w:style w:type="paragraph" w:styleId="CommentText">
    <w:name w:val="annotation text"/>
    <w:basedOn w:val="Normal"/>
    <w:link w:val="CommentTextChar"/>
    <w:uiPriority w:val="99"/>
    <w:unhideWhenUsed/>
    <w:rsid w:val="005A4909"/>
    <w:pPr>
      <w:spacing w:line="240" w:lineRule="auto"/>
    </w:pPr>
    <w:rPr>
      <w:sz w:val="20"/>
      <w:szCs w:val="20"/>
    </w:rPr>
  </w:style>
  <w:style w:type="character" w:customStyle="1" w:styleId="CommentTextChar">
    <w:name w:val="Comment Text Char"/>
    <w:basedOn w:val="DefaultParagraphFont"/>
    <w:link w:val="CommentText"/>
    <w:uiPriority w:val="99"/>
    <w:rsid w:val="005A4909"/>
    <w:rPr>
      <w:sz w:val="20"/>
      <w:szCs w:val="20"/>
    </w:rPr>
  </w:style>
  <w:style w:type="paragraph" w:styleId="CommentSubject">
    <w:name w:val="annotation subject"/>
    <w:basedOn w:val="CommentText"/>
    <w:next w:val="CommentText"/>
    <w:link w:val="CommentSubjectChar"/>
    <w:uiPriority w:val="99"/>
    <w:semiHidden/>
    <w:unhideWhenUsed/>
    <w:rsid w:val="005A4909"/>
    <w:rPr>
      <w:b/>
      <w:bCs/>
    </w:rPr>
  </w:style>
  <w:style w:type="character" w:customStyle="1" w:styleId="CommentSubjectChar">
    <w:name w:val="Comment Subject Char"/>
    <w:basedOn w:val="CommentTextChar"/>
    <w:link w:val="CommentSubject"/>
    <w:uiPriority w:val="99"/>
    <w:semiHidden/>
    <w:rsid w:val="005A4909"/>
    <w:rPr>
      <w:b/>
      <w:bCs/>
      <w:sz w:val="20"/>
      <w:szCs w:val="20"/>
    </w:rPr>
  </w:style>
  <w:style w:type="character" w:styleId="UnresolvedMention">
    <w:name w:val="Unresolved Mention"/>
    <w:basedOn w:val="DefaultParagraphFont"/>
    <w:uiPriority w:val="99"/>
    <w:semiHidden/>
    <w:unhideWhenUsed/>
    <w:rsid w:val="00D8358A"/>
    <w:rPr>
      <w:color w:val="605E5C"/>
      <w:shd w:val="clear" w:color="auto" w:fill="E1DFDD"/>
    </w:rPr>
  </w:style>
  <w:style w:type="character" w:customStyle="1" w:styleId="Heading8Char">
    <w:name w:val="Heading 8 Char"/>
    <w:basedOn w:val="DefaultParagraphFont"/>
    <w:link w:val="Heading8"/>
    <w:uiPriority w:val="9"/>
    <w:rsid w:val="002D66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2343F"/>
    <w:rPr>
      <w:rFonts w:asciiTheme="majorHAnsi" w:eastAsiaTheme="majorEastAsia" w:hAnsiTheme="majorHAnsi" w:cstheme="majorBidi"/>
      <w:i/>
      <w:iCs/>
      <w:color w:val="272727" w:themeColor="text1" w:themeTint="D8"/>
      <w:sz w:val="21"/>
      <w:szCs w:val="21"/>
    </w:rPr>
  </w:style>
  <w:style w:type="paragraph" w:customStyle="1" w:styleId="Table">
    <w:name w:val="Table"/>
    <w:basedOn w:val="Normal"/>
    <w:link w:val="TableChar"/>
    <w:qFormat/>
    <w:rsid w:val="008140F7"/>
    <w:rPr>
      <w:b/>
      <w:bCs/>
      <w:i/>
      <w:iCs/>
    </w:rPr>
  </w:style>
  <w:style w:type="character" w:customStyle="1" w:styleId="TableChar">
    <w:name w:val="Table Char"/>
    <w:basedOn w:val="Heading7Char"/>
    <w:link w:val="Table"/>
    <w:rsid w:val="00297352"/>
    <w:rPr>
      <w:rFonts w:asciiTheme="majorHAnsi" w:eastAsiaTheme="majorEastAsia" w:hAnsiTheme="majorHAnsi" w:cstheme="majorBidi"/>
      <w:b/>
      <w:bCs/>
      <w:i/>
      <w:iCs/>
      <w:color w:val="44546A" w:themeColor="text2"/>
      <w:u w:val="single"/>
    </w:rPr>
  </w:style>
  <w:style w:type="paragraph" w:styleId="Revision">
    <w:name w:val="Revision"/>
    <w:hidden/>
    <w:uiPriority w:val="99"/>
    <w:semiHidden/>
    <w:rsid w:val="003343C5"/>
    <w:pPr>
      <w:spacing w:after="0" w:line="240" w:lineRule="auto"/>
    </w:pPr>
  </w:style>
  <w:style w:type="character" w:styleId="IntenseReference">
    <w:name w:val="Intense Reference"/>
    <w:basedOn w:val="DefaultParagraphFont"/>
    <w:uiPriority w:val="32"/>
    <w:qFormat/>
    <w:rsid w:val="00E02386"/>
    <w:rPr>
      <w:b/>
      <w:bCs/>
      <w:smallCaps/>
      <w:color w:val="4472C4" w:themeColor="accent1"/>
      <w:spacing w:val="5"/>
    </w:rPr>
  </w:style>
  <w:style w:type="character" w:styleId="Mention">
    <w:name w:val="Mention"/>
    <w:basedOn w:val="DefaultParagraphFont"/>
    <w:uiPriority w:val="99"/>
    <w:unhideWhenUsed/>
    <w:rsid w:val="007C57FC"/>
    <w:rPr>
      <w:color w:val="2B579A"/>
      <w:shd w:val="clear" w:color="auto" w:fill="E1DFDD"/>
    </w:rPr>
  </w:style>
  <w:style w:type="table" w:customStyle="1" w:styleId="CERCallout">
    <w:name w:val="CER Callout"/>
    <w:basedOn w:val="TableNormal"/>
    <w:uiPriority w:val="99"/>
    <w:rsid w:val="005E44CA"/>
    <w:pPr>
      <w:spacing w:before="100" w:beforeAutospacing="1" w:after="240" w:line="240" w:lineRule="auto"/>
      <w:ind w:left="284" w:right="284"/>
    </w:pPr>
    <w:rPr>
      <w:rFonts w:eastAsia="Cambria" w:cs="Times New Roman"/>
      <w:sz w:val="20"/>
      <w:szCs w:val="20"/>
      <w:lang w:eastAsia="en-AU"/>
    </w:rPr>
    <w:tblPr>
      <w:tblBorders>
        <w:left w:val="single" w:sz="24" w:space="0" w:color="4472C4"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4472C4" w:themeColor="accent1"/>
          <w:bottom w:val="nil"/>
          <w:right w:val="nil"/>
          <w:insideH w:val="nil"/>
          <w:insideV w:val="nil"/>
          <w:tl2br w:val="nil"/>
          <w:tr2bl w:val="nil"/>
        </w:tcBorders>
        <w:noWrap/>
      </w:tcPr>
    </w:tblStylePr>
  </w:style>
  <w:style w:type="paragraph" w:styleId="TableofFigures">
    <w:name w:val="table of figures"/>
    <w:basedOn w:val="Normal"/>
    <w:next w:val="Normal"/>
    <w:uiPriority w:val="99"/>
    <w:unhideWhenUsed/>
    <w:rsid w:val="00C35D53"/>
    <w:pPr>
      <w:spacing w:after="0"/>
    </w:pPr>
  </w:style>
  <w:style w:type="character" w:customStyle="1" w:styleId="cf01">
    <w:name w:val="cf01"/>
    <w:basedOn w:val="DefaultParagraphFont"/>
    <w:rsid w:val="00AA0555"/>
    <w:rPr>
      <w:rFonts w:ascii="Segoe UI" w:hAnsi="Segoe UI" w:cs="Segoe UI" w:hint="default"/>
      <w:sz w:val="18"/>
      <w:szCs w:val="18"/>
      <w:shd w:val="clear" w:color="auto" w:fill="FFFF00"/>
    </w:rPr>
  </w:style>
  <w:style w:type="paragraph" w:styleId="FootnoteText">
    <w:name w:val="footnote text"/>
    <w:basedOn w:val="Normal"/>
    <w:link w:val="FootnoteTextChar"/>
    <w:uiPriority w:val="99"/>
    <w:semiHidden/>
    <w:unhideWhenUsed/>
    <w:rsid w:val="00F957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7B6"/>
    <w:rPr>
      <w:sz w:val="20"/>
      <w:szCs w:val="20"/>
    </w:rPr>
  </w:style>
  <w:style w:type="character" w:styleId="FootnoteReference">
    <w:name w:val="footnote reference"/>
    <w:basedOn w:val="DefaultParagraphFont"/>
    <w:uiPriority w:val="99"/>
    <w:semiHidden/>
    <w:unhideWhenUsed/>
    <w:rsid w:val="00F957B6"/>
    <w:rPr>
      <w:vertAlign w:val="superscript"/>
    </w:rPr>
  </w:style>
  <w:style w:type="table" w:styleId="TableGridLight">
    <w:name w:val="Grid Table Light"/>
    <w:basedOn w:val="TableNormal"/>
    <w:uiPriority w:val="40"/>
    <w:rsid w:val="004C3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761E4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ERbullets">
    <w:name w:val="CER bullets"/>
    <w:basedOn w:val="Normal"/>
    <w:link w:val="CERbulletsChar"/>
    <w:uiPriority w:val="7"/>
    <w:qFormat/>
    <w:rsid w:val="00053CC7"/>
    <w:pPr>
      <w:numPr>
        <w:numId w:val="14"/>
      </w:numPr>
      <w:spacing w:before="120" w:after="120" w:line="240" w:lineRule="auto"/>
      <w:ind w:left="357" w:hanging="357"/>
    </w:pPr>
    <w:rPr>
      <w:rFonts w:eastAsia="Cambria" w:cstheme="minorHAnsi"/>
      <w:szCs w:val="24"/>
    </w:rPr>
  </w:style>
  <w:style w:type="character" w:customStyle="1" w:styleId="CERbulletsChar">
    <w:name w:val="CER bullets Char"/>
    <w:basedOn w:val="DefaultParagraphFont"/>
    <w:link w:val="CERbullets"/>
    <w:uiPriority w:val="7"/>
    <w:rsid w:val="001E39FF"/>
    <w:rPr>
      <w:rFonts w:eastAsia="Cambria" w:cstheme="minorHAnsi"/>
      <w:szCs w:val="24"/>
    </w:rPr>
  </w:style>
  <w:style w:type="paragraph" w:customStyle="1" w:styleId="paragraph">
    <w:name w:val="paragraph"/>
    <w:basedOn w:val="Normal"/>
    <w:rsid w:val="006D46A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D46AF"/>
  </w:style>
  <w:style w:type="character" w:customStyle="1" w:styleId="eop">
    <w:name w:val="eop"/>
    <w:basedOn w:val="DefaultParagraphFont"/>
    <w:rsid w:val="006D46AF"/>
  </w:style>
  <w:style w:type="character" w:customStyle="1" w:styleId="scxw162015244">
    <w:name w:val="scxw162015244"/>
    <w:basedOn w:val="DefaultParagraphFont"/>
    <w:rsid w:val="006D46AF"/>
  </w:style>
  <w:style w:type="table" w:customStyle="1" w:styleId="CERTable">
    <w:name w:val="CER Table"/>
    <w:basedOn w:val="TableNormal"/>
    <w:uiPriority w:val="99"/>
    <w:rsid w:val="00E87469"/>
    <w:pPr>
      <w:spacing w:before="120" w:after="0" w:line="240" w:lineRule="auto"/>
    </w:pPr>
    <w:rPr>
      <w:rFonts w:ascii="Calibri" w:eastAsia="Cambria" w:hAnsi="Calibri" w:cs="Times New Roman"/>
      <w:color w:val="000000" w:themeColor="text1"/>
      <w:kern w:val="2"/>
      <w:sz w:val="20"/>
      <w:szCs w:val="20"/>
      <w:lang w:eastAsia="en-AU"/>
    </w:rPr>
    <w:tblPr>
      <w:tblStyleRowBandSize w:val="1"/>
      <w:tblBorders>
        <w:top w:val="single" w:sz="8" w:space="0" w:color="ED7D31" w:themeColor="accent2"/>
        <w:bottom w:val="single" w:sz="8" w:space="0" w:color="ED7D31" w:themeColor="accent2"/>
        <w:insideH w:val="single" w:sz="8" w:space="0" w:color="E7E6E6"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ED7D31" w:themeColor="accent2"/>
          <w:right w:val="nil"/>
          <w:insideH w:val="nil"/>
          <w:insideV w:val="nil"/>
          <w:tl2br w:val="nil"/>
          <w:tr2bl w:val="nil"/>
        </w:tcBorders>
        <w:shd w:val="clear" w:color="auto" w:fill="E7E6E6"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0CECE"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114278"/>
  </w:style>
  <w:style w:type="character" w:styleId="FollowedHyperlink">
    <w:name w:val="FollowedHyperlink"/>
    <w:basedOn w:val="DefaultParagraphFont"/>
    <w:uiPriority w:val="99"/>
    <w:semiHidden/>
    <w:unhideWhenUsed/>
    <w:rsid w:val="00EF600B"/>
    <w:rPr>
      <w:color w:val="954F72" w:themeColor="followedHyperlink"/>
      <w:u w:val="single"/>
    </w:rPr>
  </w:style>
  <w:style w:type="paragraph" w:styleId="EndnoteText">
    <w:name w:val="endnote text"/>
    <w:basedOn w:val="Normal"/>
    <w:link w:val="EndnoteTextChar"/>
    <w:uiPriority w:val="99"/>
    <w:semiHidden/>
    <w:unhideWhenUsed/>
    <w:rsid w:val="00EF60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600B"/>
    <w:rPr>
      <w:sz w:val="20"/>
      <w:szCs w:val="20"/>
    </w:rPr>
  </w:style>
  <w:style w:type="character" w:styleId="EndnoteReference">
    <w:name w:val="endnote reference"/>
    <w:basedOn w:val="DefaultParagraphFont"/>
    <w:uiPriority w:val="99"/>
    <w:semiHidden/>
    <w:unhideWhenUsed/>
    <w:rsid w:val="00EF600B"/>
    <w:rPr>
      <w:vertAlign w:val="superscript"/>
    </w:rPr>
  </w:style>
  <w:style w:type="table" w:styleId="ListTable4">
    <w:name w:val="List Table 4"/>
    <w:basedOn w:val="TableNormal"/>
    <w:uiPriority w:val="49"/>
    <w:rsid w:val="005C25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5C25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0388">
      <w:bodyDiv w:val="1"/>
      <w:marLeft w:val="0"/>
      <w:marRight w:val="0"/>
      <w:marTop w:val="0"/>
      <w:marBottom w:val="0"/>
      <w:divBdr>
        <w:top w:val="none" w:sz="0" w:space="0" w:color="auto"/>
        <w:left w:val="none" w:sz="0" w:space="0" w:color="auto"/>
        <w:bottom w:val="none" w:sz="0" w:space="0" w:color="auto"/>
        <w:right w:val="none" w:sz="0" w:space="0" w:color="auto"/>
      </w:divBdr>
    </w:div>
    <w:div w:id="81948824">
      <w:bodyDiv w:val="1"/>
      <w:marLeft w:val="0"/>
      <w:marRight w:val="0"/>
      <w:marTop w:val="0"/>
      <w:marBottom w:val="0"/>
      <w:divBdr>
        <w:top w:val="none" w:sz="0" w:space="0" w:color="auto"/>
        <w:left w:val="none" w:sz="0" w:space="0" w:color="auto"/>
        <w:bottom w:val="none" w:sz="0" w:space="0" w:color="auto"/>
        <w:right w:val="none" w:sz="0" w:space="0" w:color="auto"/>
      </w:divBdr>
      <w:divsChild>
        <w:div w:id="800998441">
          <w:marLeft w:val="0"/>
          <w:marRight w:val="0"/>
          <w:marTop w:val="0"/>
          <w:marBottom w:val="0"/>
          <w:divBdr>
            <w:top w:val="none" w:sz="0" w:space="0" w:color="auto"/>
            <w:left w:val="none" w:sz="0" w:space="0" w:color="auto"/>
            <w:bottom w:val="none" w:sz="0" w:space="0" w:color="auto"/>
            <w:right w:val="none" w:sz="0" w:space="0" w:color="auto"/>
          </w:divBdr>
        </w:div>
      </w:divsChild>
    </w:div>
    <w:div w:id="84962869">
      <w:bodyDiv w:val="1"/>
      <w:marLeft w:val="0"/>
      <w:marRight w:val="0"/>
      <w:marTop w:val="0"/>
      <w:marBottom w:val="0"/>
      <w:divBdr>
        <w:top w:val="none" w:sz="0" w:space="0" w:color="auto"/>
        <w:left w:val="none" w:sz="0" w:space="0" w:color="auto"/>
        <w:bottom w:val="none" w:sz="0" w:space="0" w:color="auto"/>
        <w:right w:val="none" w:sz="0" w:space="0" w:color="auto"/>
      </w:divBdr>
    </w:div>
    <w:div w:id="336613169">
      <w:bodyDiv w:val="1"/>
      <w:marLeft w:val="0"/>
      <w:marRight w:val="0"/>
      <w:marTop w:val="0"/>
      <w:marBottom w:val="0"/>
      <w:divBdr>
        <w:top w:val="none" w:sz="0" w:space="0" w:color="auto"/>
        <w:left w:val="none" w:sz="0" w:space="0" w:color="auto"/>
        <w:bottom w:val="none" w:sz="0" w:space="0" w:color="auto"/>
        <w:right w:val="none" w:sz="0" w:space="0" w:color="auto"/>
      </w:divBdr>
    </w:div>
    <w:div w:id="375199222">
      <w:bodyDiv w:val="1"/>
      <w:marLeft w:val="0"/>
      <w:marRight w:val="0"/>
      <w:marTop w:val="0"/>
      <w:marBottom w:val="0"/>
      <w:divBdr>
        <w:top w:val="none" w:sz="0" w:space="0" w:color="auto"/>
        <w:left w:val="none" w:sz="0" w:space="0" w:color="auto"/>
        <w:bottom w:val="none" w:sz="0" w:space="0" w:color="auto"/>
        <w:right w:val="none" w:sz="0" w:space="0" w:color="auto"/>
      </w:divBdr>
      <w:divsChild>
        <w:div w:id="566965179">
          <w:marLeft w:val="0"/>
          <w:marRight w:val="0"/>
          <w:marTop w:val="0"/>
          <w:marBottom w:val="0"/>
          <w:divBdr>
            <w:top w:val="none" w:sz="0" w:space="0" w:color="auto"/>
            <w:left w:val="none" w:sz="0" w:space="0" w:color="auto"/>
            <w:bottom w:val="none" w:sz="0" w:space="0" w:color="auto"/>
            <w:right w:val="none" w:sz="0" w:space="0" w:color="auto"/>
          </w:divBdr>
        </w:div>
      </w:divsChild>
    </w:div>
    <w:div w:id="391123582">
      <w:bodyDiv w:val="1"/>
      <w:marLeft w:val="0"/>
      <w:marRight w:val="0"/>
      <w:marTop w:val="0"/>
      <w:marBottom w:val="0"/>
      <w:divBdr>
        <w:top w:val="none" w:sz="0" w:space="0" w:color="auto"/>
        <w:left w:val="none" w:sz="0" w:space="0" w:color="auto"/>
        <w:bottom w:val="none" w:sz="0" w:space="0" w:color="auto"/>
        <w:right w:val="none" w:sz="0" w:space="0" w:color="auto"/>
      </w:divBdr>
      <w:divsChild>
        <w:div w:id="1171217038">
          <w:marLeft w:val="0"/>
          <w:marRight w:val="0"/>
          <w:marTop w:val="0"/>
          <w:marBottom w:val="0"/>
          <w:divBdr>
            <w:top w:val="none" w:sz="0" w:space="0" w:color="auto"/>
            <w:left w:val="none" w:sz="0" w:space="0" w:color="auto"/>
            <w:bottom w:val="none" w:sz="0" w:space="0" w:color="auto"/>
            <w:right w:val="none" w:sz="0" w:space="0" w:color="auto"/>
          </w:divBdr>
        </w:div>
      </w:divsChild>
    </w:div>
    <w:div w:id="418212230">
      <w:bodyDiv w:val="1"/>
      <w:marLeft w:val="0"/>
      <w:marRight w:val="0"/>
      <w:marTop w:val="0"/>
      <w:marBottom w:val="0"/>
      <w:divBdr>
        <w:top w:val="none" w:sz="0" w:space="0" w:color="auto"/>
        <w:left w:val="none" w:sz="0" w:space="0" w:color="auto"/>
        <w:bottom w:val="none" w:sz="0" w:space="0" w:color="auto"/>
        <w:right w:val="none" w:sz="0" w:space="0" w:color="auto"/>
      </w:divBdr>
    </w:div>
    <w:div w:id="426772058">
      <w:bodyDiv w:val="1"/>
      <w:marLeft w:val="0"/>
      <w:marRight w:val="0"/>
      <w:marTop w:val="0"/>
      <w:marBottom w:val="0"/>
      <w:divBdr>
        <w:top w:val="none" w:sz="0" w:space="0" w:color="auto"/>
        <w:left w:val="none" w:sz="0" w:space="0" w:color="auto"/>
        <w:bottom w:val="none" w:sz="0" w:space="0" w:color="auto"/>
        <w:right w:val="none" w:sz="0" w:space="0" w:color="auto"/>
      </w:divBdr>
    </w:div>
    <w:div w:id="597367385">
      <w:bodyDiv w:val="1"/>
      <w:marLeft w:val="0"/>
      <w:marRight w:val="0"/>
      <w:marTop w:val="0"/>
      <w:marBottom w:val="0"/>
      <w:divBdr>
        <w:top w:val="none" w:sz="0" w:space="0" w:color="auto"/>
        <w:left w:val="none" w:sz="0" w:space="0" w:color="auto"/>
        <w:bottom w:val="none" w:sz="0" w:space="0" w:color="auto"/>
        <w:right w:val="none" w:sz="0" w:space="0" w:color="auto"/>
      </w:divBdr>
      <w:divsChild>
        <w:div w:id="566722086">
          <w:marLeft w:val="0"/>
          <w:marRight w:val="0"/>
          <w:marTop w:val="0"/>
          <w:marBottom w:val="0"/>
          <w:divBdr>
            <w:top w:val="none" w:sz="0" w:space="0" w:color="auto"/>
            <w:left w:val="none" w:sz="0" w:space="0" w:color="auto"/>
            <w:bottom w:val="none" w:sz="0" w:space="0" w:color="auto"/>
            <w:right w:val="none" w:sz="0" w:space="0" w:color="auto"/>
          </w:divBdr>
        </w:div>
        <w:div w:id="669411820">
          <w:marLeft w:val="0"/>
          <w:marRight w:val="0"/>
          <w:marTop w:val="0"/>
          <w:marBottom w:val="0"/>
          <w:divBdr>
            <w:top w:val="none" w:sz="0" w:space="0" w:color="auto"/>
            <w:left w:val="none" w:sz="0" w:space="0" w:color="auto"/>
            <w:bottom w:val="none" w:sz="0" w:space="0" w:color="auto"/>
            <w:right w:val="none" w:sz="0" w:space="0" w:color="auto"/>
          </w:divBdr>
        </w:div>
        <w:div w:id="882400081">
          <w:marLeft w:val="0"/>
          <w:marRight w:val="0"/>
          <w:marTop w:val="0"/>
          <w:marBottom w:val="0"/>
          <w:divBdr>
            <w:top w:val="none" w:sz="0" w:space="0" w:color="auto"/>
            <w:left w:val="none" w:sz="0" w:space="0" w:color="auto"/>
            <w:bottom w:val="none" w:sz="0" w:space="0" w:color="auto"/>
            <w:right w:val="none" w:sz="0" w:space="0" w:color="auto"/>
          </w:divBdr>
        </w:div>
        <w:div w:id="1376656046">
          <w:marLeft w:val="0"/>
          <w:marRight w:val="0"/>
          <w:marTop w:val="0"/>
          <w:marBottom w:val="0"/>
          <w:divBdr>
            <w:top w:val="none" w:sz="0" w:space="0" w:color="auto"/>
            <w:left w:val="none" w:sz="0" w:space="0" w:color="auto"/>
            <w:bottom w:val="none" w:sz="0" w:space="0" w:color="auto"/>
            <w:right w:val="none" w:sz="0" w:space="0" w:color="auto"/>
          </w:divBdr>
        </w:div>
        <w:div w:id="1602370342">
          <w:marLeft w:val="0"/>
          <w:marRight w:val="0"/>
          <w:marTop w:val="0"/>
          <w:marBottom w:val="0"/>
          <w:divBdr>
            <w:top w:val="none" w:sz="0" w:space="0" w:color="auto"/>
            <w:left w:val="none" w:sz="0" w:space="0" w:color="auto"/>
            <w:bottom w:val="none" w:sz="0" w:space="0" w:color="auto"/>
            <w:right w:val="none" w:sz="0" w:space="0" w:color="auto"/>
          </w:divBdr>
        </w:div>
      </w:divsChild>
    </w:div>
    <w:div w:id="614095155">
      <w:bodyDiv w:val="1"/>
      <w:marLeft w:val="0"/>
      <w:marRight w:val="0"/>
      <w:marTop w:val="0"/>
      <w:marBottom w:val="0"/>
      <w:divBdr>
        <w:top w:val="none" w:sz="0" w:space="0" w:color="auto"/>
        <w:left w:val="none" w:sz="0" w:space="0" w:color="auto"/>
        <w:bottom w:val="none" w:sz="0" w:space="0" w:color="auto"/>
        <w:right w:val="none" w:sz="0" w:space="0" w:color="auto"/>
      </w:divBdr>
      <w:divsChild>
        <w:div w:id="782382592">
          <w:marLeft w:val="0"/>
          <w:marRight w:val="0"/>
          <w:marTop w:val="0"/>
          <w:marBottom w:val="0"/>
          <w:divBdr>
            <w:top w:val="none" w:sz="0" w:space="0" w:color="auto"/>
            <w:left w:val="none" w:sz="0" w:space="0" w:color="auto"/>
            <w:bottom w:val="none" w:sz="0" w:space="0" w:color="auto"/>
            <w:right w:val="none" w:sz="0" w:space="0" w:color="auto"/>
          </w:divBdr>
        </w:div>
      </w:divsChild>
    </w:div>
    <w:div w:id="835535636">
      <w:bodyDiv w:val="1"/>
      <w:marLeft w:val="0"/>
      <w:marRight w:val="0"/>
      <w:marTop w:val="0"/>
      <w:marBottom w:val="0"/>
      <w:divBdr>
        <w:top w:val="none" w:sz="0" w:space="0" w:color="auto"/>
        <w:left w:val="none" w:sz="0" w:space="0" w:color="auto"/>
        <w:bottom w:val="none" w:sz="0" w:space="0" w:color="auto"/>
        <w:right w:val="none" w:sz="0" w:space="0" w:color="auto"/>
      </w:divBdr>
    </w:div>
    <w:div w:id="932905977">
      <w:bodyDiv w:val="1"/>
      <w:marLeft w:val="0"/>
      <w:marRight w:val="0"/>
      <w:marTop w:val="0"/>
      <w:marBottom w:val="0"/>
      <w:divBdr>
        <w:top w:val="none" w:sz="0" w:space="0" w:color="auto"/>
        <w:left w:val="none" w:sz="0" w:space="0" w:color="auto"/>
        <w:bottom w:val="none" w:sz="0" w:space="0" w:color="auto"/>
        <w:right w:val="none" w:sz="0" w:space="0" w:color="auto"/>
      </w:divBdr>
    </w:div>
    <w:div w:id="950282745">
      <w:bodyDiv w:val="1"/>
      <w:marLeft w:val="0"/>
      <w:marRight w:val="0"/>
      <w:marTop w:val="0"/>
      <w:marBottom w:val="0"/>
      <w:divBdr>
        <w:top w:val="none" w:sz="0" w:space="0" w:color="auto"/>
        <w:left w:val="none" w:sz="0" w:space="0" w:color="auto"/>
        <w:bottom w:val="none" w:sz="0" w:space="0" w:color="auto"/>
        <w:right w:val="none" w:sz="0" w:space="0" w:color="auto"/>
      </w:divBdr>
      <w:divsChild>
        <w:div w:id="1704212082">
          <w:marLeft w:val="0"/>
          <w:marRight w:val="0"/>
          <w:marTop w:val="0"/>
          <w:marBottom w:val="0"/>
          <w:divBdr>
            <w:top w:val="none" w:sz="0" w:space="0" w:color="auto"/>
            <w:left w:val="none" w:sz="0" w:space="0" w:color="auto"/>
            <w:bottom w:val="none" w:sz="0" w:space="0" w:color="auto"/>
            <w:right w:val="none" w:sz="0" w:space="0" w:color="auto"/>
          </w:divBdr>
        </w:div>
      </w:divsChild>
    </w:div>
    <w:div w:id="988553201">
      <w:bodyDiv w:val="1"/>
      <w:marLeft w:val="0"/>
      <w:marRight w:val="0"/>
      <w:marTop w:val="0"/>
      <w:marBottom w:val="0"/>
      <w:divBdr>
        <w:top w:val="none" w:sz="0" w:space="0" w:color="auto"/>
        <w:left w:val="none" w:sz="0" w:space="0" w:color="auto"/>
        <w:bottom w:val="none" w:sz="0" w:space="0" w:color="auto"/>
        <w:right w:val="none" w:sz="0" w:space="0" w:color="auto"/>
      </w:divBdr>
    </w:div>
    <w:div w:id="1138182976">
      <w:bodyDiv w:val="1"/>
      <w:marLeft w:val="0"/>
      <w:marRight w:val="0"/>
      <w:marTop w:val="0"/>
      <w:marBottom w:val="0"/>
      <w:divBdr>
        <w:top w:val="none" w:sz="0" w:space="0" w:color="auto"/>
        <w:left w:val="none" w:sz="0" w:space="0" w:color="auto"/>
        <w:bottom w:val="none" w:sz="0" w:space="0" w:color="auto"/>
        <w:right w:val="none" w:sz="0" w:space="0" w:color="auto"/>
      </w:divBdr>
    </w:div>
    <w:div w:id="1145971656">
      <w:bodyDiv w:val="1"/>
      <w:marLeft w:val="0"/>
      <w:marRight w:val="0"/>
      <w:marTop w:val="0"/>
      <w:marBottom w:val="0"/>
      <w:divBdr>
        <w:top w:val="none" w:sz="0" w:space="0" w:color="auto"/>
        <w:left w:val="none" w:sz="0" w:space="0" w:color="auto"/>
        <w:bottom w:val="none" w:sz="0" w:space="0" w:color="auto"/>
        <w:right w:val="none" w:sz="0" w:space="0" w:color="auto"/>
      </w:divBdr>
      <w:divsChild>
        <w:div w:id="190263443">
          <w:marLeft w:val="0"/>
          <w:marRight w:val="0"/>
          <w:marTop w:val="0"/>
          <w:marBottom w:val="0"/>
          <w:divBdr>
            <w:top w:val="none" w:sz="0" w:space="0" w:color="auto"/>
            <w:left w:val="none" w:sz="0" w:space="0" w:color="auto"/>
            <w:bottom w:val="none" w:sz="0" w:space="0" w:color="auto"/>
            <w:right w:val="none" w:sz="0" w:space="0" w:color="auto"/>
          </w:divBdr>
        </w:div>
        <w:div w:id="371197071">
          <w:marLeft w:val="0"/>
          <w:marRight w:val="0"/>
          <w:marTop w:val="0"/>
          <w:marBottom w:val="0"/>
          <w:divBdr>
            <w:top w:val="none" w:sz="0" w:space="0" w:color="auto"/>
            <w:left w:val="none" w:sz="0" w:space="0" w:color="auto"/>
            <w:bottom w:val="none" w:sz="0" w:space="0" w:color="auto"/>
            <w:right w:val="none" w:sz="0" w:space="0" w:color="auto"/>
          </w:divBdr>
        </w:div>
        <w:div w:id="467282839">
          <w:marLeft w:val="0"/>
          <w:marRight w:val="0"/>
          <w:marTop w:val="0"/>
          <w:marBottom w:val="0"/>
          <w:divBdr>
            <w:top w:val="none" w:sz="0" w:space="0" w:color="auto"/>
            <w:left w:val="none" w:sz="0" w:space="0" w:color="auto"/>
            <w:bottom w:val="none" w:sz="0" w:space="0" w:color="auto"/>
            <w:right w:val="none" w:sz="0" w:space="0" w:color="auto"/>
          </w:divBdr>
        </w:div>
        <w:div w:id="584531089">
          <w:marLeft w:val="0"/>
          <w:marRight w:val="0"/>
          <w:marTop w:val="0"/>
          <w:marBottom w:val="0"/>
          <w:divBdr>
            <w:top w:val="none" w:sz="0" w:space="0" w:color="auto"/>
            <w:left w:val="none" w:sz="0" w:space="0" w:color="auto"/>
            <w:bottom w:val="none" w:sz="0" w:space="0" w:color="auto"/>
            <w:right w:val="none" w:sz="0" w:space="0" w:color="auto"/>
          </w:divBdr>
        </w:div>
        <w:div w:id="727805066">
          <w:marLeft w:val="0"/>
          <w:marRight w:val="0"/>
          <w:marTop w:val="0"/>
          <w:marBottom w:val="0"/>
          <w:divBdr>
            <w:top w:val="none" w:sz="0" w:space="0" w:color="auto"/>
            <w:left w:val="none" w:sz="0" w:space="0" w:color="auto"/>
            <w:bottom w:val="none" w:sz="0" w:space="0" w:color="auto"/>
            <w:right w:val="none" w:sz="0" w:space="0" w:color="auto"/>
          </w:divBdr>
        </w:div>
        <w:div w:id="846364236">
          <w:marLeft w:val="0"/>
          <w:marRight w:val="0"/>
          <w:marTop w:val="0"/>
          <w:marBottom w:val="0"/>
          <w:divBdr>
            <w:top w:val="none" w:sz="0" w:space="0" w:color="auto"/>
            <w:left w:val="none" w:sz="0" w:space="0" w:color="auto"/>
            <w:bottom w:val="none" w:sz="0" w:space="0" w:color="auto"/>
            <w:right w:val="none" w:sz="0" w:space="0" w:color="auto"/>
          </w:divBdr>
        </w:div>
        <w:div w:id="941500242">
          <w:marLeft w:val="0"/>
          <w:marRight w:val="0"/>
          <w:marTop w:val="0"/>
          <w:marBottom w:val="0"/>
          <w:divBdr>
            <w:top w:val="none" w:sz="0" w:space="0" w:color="auto"/>
            <w:left w:val="none" w:sz="0" w:space="0" w:color="auto"/>
            <w:bottom w:val="none" w:sz="0" w:space="0" w:color="auto"/>
            <w:right w:val="none" w:sz="0" w:space="0" w:color="auto"/>
          </w:divBdr>
        </w:div>
        <w:div w:id="1113477599">
          <w:marLeft w:val="0"/>
          <w:marRight w:val="0"/>
          <w:marTop w:val="0"/>
          <w:marBottom w:val="0"/>
          <w:divBdr>
            <w:top w:val="none" w:sz="0" w:space="0" w:color="auto"/>
            <w:left w:val="none" w:sz="0" w:space="0" w:color="auto"/>
            <w:bottom w:val="none" w:sz="0" w:space="0" w:color="auto"/>
            <w:right w:val="none" w:sz="0" w:space="0" w:color="auto"/>
          </w:divBdr>
        </w:div>
        <w:div w:id="1385061971">
          <w:marLeft w:val="0"/>
          <w:marRight w:val="0"/>
          <w:marTop w:val="0"/>
          <w:marBottom w:val="0"/>
          <w:divBdr>
            <w:top w:val="none" w:sz="0" w:space="0" w:color="auto"/>
            <w:left w:val="none" w:sz="0" w:space="0" w:color="auto"/>
            <w:bottom w:val="none" w:sz="0" w:space="0" w:color="auto"/>
            <w:right w:val="none" w:sz="0" w:space="0" w:color="auto"/>
          </w:divBdr>
        </w:div>
        <w:div w:id="1489126848">
          <w:marLeft w:val="0"/>
          <w:marRight w:val="0"/>
          <w:marTop w:val="0"/>
          <w:marBottom w:val="0"/>
          <w:divBdr>
            <w:top w:val="none" w:sz="0" w:space="0" w:color="auto"/>
            <w:left w:val="none" w:sz="0" w:space="0" w:color="auto"/>
            <w:bottom w:val="none" w:sz="0" w:space="0" w:color="auto"/>
            <w:right w:val="none" w:sz="0" w:space="0" w:color="auto"/>
          </w:divBdr>
        </w:div>
        <w:div w:id="1851143541">
          <w:marLeft w:val="0"/>
          <w:marRight w:val="0"/>
          <w:marTop w:val="0"/>
          <w:marBottom w:val="0"/>
          <w:divBdr>
            <w:top w:val="none" w:sz="0" w:space="0" w:color="auto"/>
            <w:left w:val="none" w:sz="0" w:space="0" w:color="auto"/>
            <w:bottom w:val="none" w:sz="0" w:space="0" w:color="auto"/>
            <w:right w:val="none" w:sz="0" w:space="0" w:color="auto"/>
          </w:divBdr>
        </w:div>
        <w:div w:id="1857108373">
          <w:marLeft w:val="0"/>
          <w:marRight w:val="0"/>
          <w:marTop w:val="0"/>
          <w:marBottom w:val="0"/>
          <w:divBdr>
            <w:top w:val="none" w:sz="0" w:space="0" w:color="auto"/>
            <w:left w:val="none" w:sz="0" w:space="0" w:color="auto"/>
            <w:bottom w:val="none" w:sz="0" w:space="0" w:color="auto"/>
            <w:right w:val="none" w:sz="0" w:space="0" w:color="auto"/>
          </w:divBdr>
        </w:div>
        <w:div w:id="2121073009">
          <w:marLeft w:val="0"/>
          <w:marRight w:val="0"/>
          <w:marTop w:val="0"/>
          <w:marBottom w:val="0"/>
          <w:divBdr>
            <w:top w:val="none" w:sz="0" w:space="0" w:color="auto"/>
            <w:left w:val="none" w:sz="0" w:space="0" w:color="auto"/>
            <w:bottom w:val="none" w:sz="0" w:space="0" w:color="auto"/>
            <w:right w:val="none" w:sz="0" w:space="0" w:color="auto"/>
          </w:divBdr>
        </w:div>
        <w:div w:id="2139642823">
          <w:marLeft w:val="0"/>
          <w:marRight w:val="0"/>
          <w:marTop w:val="0"/>
          <w:marBottom w:val="0"/>
          <w:divBdr>
            <w:top w:val="none" w:sz="0" w:space="0" w:color="auto"/>
            <w:left w:val="none" w:sz="0" w:space="0" w:color="auto"/>
            <w:bottom w:val="none" w:sz="0" w:space="0" w:color="auto"/>
            <w:right w:val="none" w:sz="0" w:space="0" w:color="auto"/>
          </w:divBdr>
        </w:div>
      </w:divsChild>
    </w:div>
    <w:div w:id="1267731221">
      <w:bodyDiv w:val="1"/>
      <w:marLeft w:val="0"/>
      <w:marRight w:val="0"/>
      <w:marTop w:val="0"/>
      <w:marBottom w:val="0"/>
      <w:divBdr>
        <w:top w:val="none" w:sz="0" w:space="0" w:color="auto"/>
        <w:left w:val="none" w:sz="0" w:space="0" w:color="auto"/>
        <w:bottom w:val="none" w:sz="0" w:space="0" w:color="auto"/>
        <w:right w:val="none" w:sz="0" w:space="0" w:color="auto"/>
      </w:divBdr>
    </w:div>
    <w:div w:id="1277063206">
      <w:bodyDiv w:val="1"/>
      <w:marLeft w:val="0"/>
      <w:marRight w:val="0"/>
      <w:marTop w:val="0"/>
      <w:marBottom w:val="0"/>
      <w:divBdr>
        <w:top w:val="none" w:sz="0" w:space="0" w:color="auto"/>
        <w:left w:val="none" w:sz="0" w:space="0" w:color="auto"/>
        <w:bottom w:val="none" w:sz="0" w:space="0" w:color="auto"/>
        <w:right w:val="none" w:sz="0" w:space="0" w:color="auto"/>
      </w:divBdr>
    </w:div>
    <w:div w:id="1280718460">
      <w:bodyDiv w:val="1"/>
      <w:marLeft w:val="0"/>
      <w:marRight w:val="0"/>
      <w:marTop w:val="0"/>
      <w:marBottom w:val="0"/>
      <w:divBdr>
        <w:top w:val="none" w:sz="0" w:space="0" w:color="auto"/>
        <w:left w:val="none" w:sz="0" w:space="0" w:color="auto"/>
        <w:bottom w:val="none" w:sz="0" w:space="0" w:color="auto"/>
        <w:right w:val="none" w:sz="0" w:space="0" w:color="auto"/>
      </w:divBdr>
    </w:div>
    <w:div w:id="1322613728">
      <w:bodyDiv w:val="1"/>
      <w:marLeft w:val="0"/>
      <w:marRight w:val="0"/>
      <w:marTop w:val="0"/>
      <w:marBottom w:val="0"/>
      <w:divBdr>
        <w:top w:val="none" w:sz="0" w:space="0" w:color="auto"/>
        <w:left w:val="none" w:sz="0" w:space="0" w:color="auto"/>
        <w:bottom w:val="none" w:sz="0" w:space="0" w:color="auto"/>
        <w:right w:val="none" w:sz="0" w:space="0" w:color="auto"/>
      </w:divBdr>
    </w:div>
    <w:div w:id="1334912146">
      <w:bodyDiv w:val="1"/>
      <w:marLeft w:val="0"/>
      <w:marRight w:val="0"/>
      <w:marTop w:val="0"/>
      <w:marBottom w:val="0"/>
      <w:divBdr>
        <w:top w:val="none" w:sz="0" w:space="0" w:color="auto"/>
        <w:left w:val="none" w:sz="0" w:space="0" w:color="auto"/>
        <w:bottom w:val="none" w:sz="0" w:space="0" w:color="auto"/>
        <w:right w:val="none" w:sz="0" w:space="0" w:color="auto"/>
      </w:divBdr>
    </w:div>
    <w:div w:id="1484349747">
      <w:bodyDiv w:val="1"/>
      <w:marLeft w:val="0"/>
      <w:marRight w:val="0"/>
      <w:marTop w:val="0"/>
      <w:marBottom w:val="0"/>
      <w:divBdr>
        <w:top w:val="none" w:sz="0" w:space="0" w:color="auto"/>
        <w:left w:val="none" w:sz="0" w:space="0" w:color="auto"/>
        <w:bottom w:val="none" w:sz="0" w:space="0" w:color="auto"/>
        <w:right w:val="none" w:sz="0" w:space="0" w:color="auto"/>
      </w:divBdr>
      <w:divsChild>
        <w:div w:id="724912702">
          <w:marLeft w:val="0"/>
          <w:marRight w:val="0"/>
          <w:marTop w:val="0"/>
          <w:marBottom w:val="0"/>
          <w:divBdr>
            <w:top w:val="none" w:sz="0" w:space="0" w:color="auto"/>
            <w:left w:val="none" w:sz="0" w:space="0" w:color="auto"/>
            <w:bottom w:val="none" w:sz="0" w:space="0" w:color="auto"/>
            <w:right w:val="none" w:sz="0" w:space="0" w:color="auto"/>
          </w:divBdr>
        </w:div>
      </w:divsChild>
    </w:div>
    <w:div w:id="1654022792">
      <w:bodyDiv w:val="1"/>
      <w:marLeft w:val="0"/>
      <w:marRight w:val="0"/>
      <w:marTop w:val="0"/>
      <w:marBottom w:val="0"/>
      <w:divBdr>
        <w:top w:val="none" w:sz="0" w:space="0" w:color="auto"/>
        <w:left w:val="none" w:sz="0" w:space="0" w:color="auto"/>
        <w:bottom w:val="none" w:sz="0" w:space="0" w:color="auto"/>
        <w:right w:val="none" w:sz="0" w:space="0" w:color="auto"/>
      </w:divBdr>
      <w:divsChild>
        <w:div w:id="1009496">
          <w:marLeft w:val="0"/>
          <w:marRight w:val="0"/>
          <w:marTop w:val="0"/>
          <w:marBottom w:val="0"/>
          <w:divBdr>
            <w:top w:val="none" w:sz="0" w:space="0" w:color="auto"/>
            <w:left w:val="none" w:sz="0" w:space="0" w:color="auto"/>
            <w:bottom w:val="none" w:sz="0" w:space="0" w:color="auto"/>
            <w:right w:val="none" w:sz="0" w:space="0" w:color="auto"/>
          </w:divBdr>
          <w:divsChild>
            <w:div w:id="109714370">
              <w:marLeft w:val="0"/>
              <w:marRight w:val="0"/>
              <w:marTop w:val="0"/>
              <w:marBottom w:val="0"/>
              <w:divBdr>
                <w:top w:val="none" w:sz="0" w:space="0" w:color="auto"/>
                <w:left w:val="none" w:sz="0" w:space="0" w:color="auto"/>
                <w:bottom w:val="none" w:sz="0" w:space="0" w:color="auto"/>
                <w:right w:val="none" w:sz="0" w:space="0" w:color="auto"/>
              </w:divBdr>
            </w:div>
          </w:divsChild>
        </w:div>
        <w:div w:id="43532676">
          <w:marLeft w:val="0"/>
          <w:marRight w:val="0"/>
          <w:marTop w:val="0"/>
          <w:marBottom w:val="0"/>
          <w:divBdr>
            <w:top w:val="none" w:sz="0" w:space="0" w:color="auto"/>
            <w:left w:val="none" w:sz="0" w:space="0" w:color="auto"/>
            <w:bottom w:val="none" w:sz="0" w:space="0" w:color="auto"/>
            <w:right w:val="none" w:sz="0" w:space="0" w:color="auto"/>
          </w:divBdr>
          <w:divsChild>
            <w:div w:id="1861317376">
              <w:marLeft w:val="0"/>
              <w:marRight w:val="0"/>
              <w:marTop w:val="0"/>
              <w:marBottom w:val="0"/>
              <w:divBdr>
                <w:top w:val="none" w:sz="0" w:space="0" w:color="auto"/>
                <w:left w:val="none" w:sz="0" w:space="0" w:color="auto"/>
                <w:bottom w:val="none" w:sz="0" w:space="0" w:color="auto"/>
                <w:right w:val="none" w:sz="0" w:space="0" w:color="auto"/>
              </w:divBdr>
            </w:div>
          </w:divsChild>
        </w:div>
        <w:div w:id="46299937">
          <w:marLeft w:val="0"/>
          <w:marRight w:val="0"/>
          <w:marTop w:val="0"/>
          <w:marBottom w:val="0"/>
          <w:divBdr>
            <w:top w:val="none" w:sz="0" w:space="0" w:color="auto"/>
            <w:left w:val="none" w:sz="0" w:space="0" w:color="auto"/>
            <w:bottom w:val="none" w:sz="0" w:space="0" w:color="auto"/>
            <w:right w:val="none" w:sz="0" w:space="0" w:color="auto"/>
          </w:divBdr>
          <w:divsChild>
            <w:div w:id="715813726">
              <w:marLeft w:val="0"/>
              <w:marRight w:val="0"/>
              <w:marTop w:val="0"/>
              <w:marBottom w:val="0"/>
              <w:divBdr>
                <w:top w:val="none" w:sz="0" w:space="0" w:color="auto"/>
                <w:left w:val="none" w:sz="0" w:space="0" w:color="auto"/>
                <w:bottom w:val="none" w:sz="0" w:space="0" w:color="auto"/>
                <w:right w:val="none" w:sz="0" w:space="0" w:color="auto"/>
              </w:divBdr>
            </w:div>
          </w:divsChild>
        </w:div>
        <w:div w:id="64379212">
          <w:marLeft w:val="0"/>
          <w:marRight w:val="0"/>
          <w:marTop w:val="0"/>
          <w:marBottom w:val="0"/>
          <w:divBdr>
            <w:top w:val="none" w:sz="0" w:space="0" w:color="auto"/>
            <w:left w:val="none" w:sz="0" w:space="0" w:color="auto"/>
            <w:bottom w:val="none" w:sz="0" w:space="0" w:color="auto"/>
            <w:right w:val="none" w:sz="0" w:space="0" w:color="auto"/>
          </w:divBdr>
          <w:divsChild>
            <w:div w:id="1843353176">
              <w:marLeft w:val="0"/>
              <w:marRight w:val="0"/>
              <w:marTop w:val="0"/>
              <w:marBottom w:val="0"/>
              <w:divBdr>
                <w:top w:val="none" w:sz="0" w:space="0" w:color="auto"/>
                <w:left w:val="none" w:sz="0" w:space="0" w:color="auto"/>
                <w:bottom w:val="none" w:sz="0" w:space="0" w:color="auto"/>
                <w:right w:val="none" w:sz="0" w:space="0" w:color="auto"/>
              </w:divBdr>
            </w:div>
          </w:divsChild>
        </w:div>
        <w:div w:id="95948406">
          <w:marLeft w:val="0"/>
          <w:marRight w:val="0"/>
          <w:marTop w:val="0"/>
          <w:marBottom w:val="0"/>
          <w:divBdr>
            <w:top w:val="none" w:sz="0" w:space="0" w:color="auto"/>
            <w:left w:val="none" w:sz="0" w:space="0" w:color="auto"/>
            <w:bottom w:val="none" w:sz="0" w:space="0" w:color="auto"/>
            <w:right w:val="none" w:sz="0" w:space="0" w:color="auto"/>
          </w:divBdr>
          <w:divsChild>
            <w:div w:id="1403602332">
              <w:marLeft w:val="0"/>
              <w:marRight w:val="0"/>
              <w:marTop w:val="0"/>
              <w:marBottom w:val="0"/>
              <w:divBdr>
                <w:top w:val="none" w:sz="0" w:space="0" w:color="auto"/>
                <w:left w:val="none" w:sz="0" w:space="0" w:color="auto"/>
                <w:bottom w:val="none" w:sz="0" w:space="0" w:color="auto"/>
                <w:right w:val="none" w:sz="0" w:space="0" w:color="auto"/>
              </w:divBdr>
            </w:div>
          </w:divsChild>
        </w:div>
        <w:div w:id="163131190">
          <w:marLeft w:val="0"/>
          <w:marRight w:val="0"/>
          <w:marTop w:val="0"/>
          <w:marBottom w:val="0"/>
          <w:divBdr>
            <w:top w:val="none" w:sz="0" w:space="0" w:color="auto"/>
            <w:left w:val="none" w:sz="0" w:space="0" w:color="auto"/>
            <w:bottom w:val="none" w:sz="0" w:space="0" w:color="auto"/>
            <w:right w:val="none" w:sz="0" w:space="0" w:color="auto"/>
          </w:divBdr>
          <w:divsChild>
            <w:div w:id="1010374171">
              <w:marLeft w:val="0"/>
              <w:marRight w:val="0"/>
              <w:marTop w:val="0"/>
              <w:marBottom w:val="0"/>
              <w:divBdr>
                <w:top w:val="none" w:sz="0" w:space="0" w:color="auto"/>
                <w:left w:val="none" w:sz="0" w:space="0" w:color="auto"/>
                <w:bottom w:val="none" w:sz="0" w:space="0" w:color="auto"/>
                <w:right w:val="none" w:sz="0" w:space="0" w:color="auto"/>
              </w:divBdr>
            </w:div>
          </w:divsChild>
        </w:div>
        <w:div w:id="177618657">
          <w:marLeft w:val="0"/>
          <w:marRight w:val="0"/>
          <w:marTop w:val="0"/>
          <w:marBottom w:val="0"/>
          <w:divBdr>
            <w:top w:val="none" w:sz="0" w:space="0" w:color="auto"/>
            <w:left w:val="none" w:sz="0" w:space="0" w:color="auto"/>
            <w:bottom w:val="none" w:sz="0" w:space="0" w:color="auto"/>
            <w:right w:val="none" w:sz="0" w:space="0" w:color="auto"/>
          </w:divBdr>
          <w:divsChild>
            <w:div w:id="171839643">
              <w:marLeft w:val="0"/>
              <w:marRight w:val="0"/>
              <w:marTop w:val="0"/>
              <w:marBottom w:val="0"/>
              <w:divBdr>
                <w:top w:val="none" w:sz="0" w:space="0" w:color="auto"/>
                <w:left w:val="none" w:sz="0" w:space="0" w:color="auto"/>
                <w:bottom w:val="none" w:sz="0" w:space="0" w:color="auto"/>
                <w:right w:val="none" w:sz="0" w:space="0" w:color="auto"/>
              </w:divBdr>
            </w:div>
          </w:divsChild>
        </w:div>
        <w:div w:id="260768061">
          <w:marLeft w:val="0"/>
          <w:marRight w:val="0"/>
          <w:marTop w:val="0"/>
          <w:marBottom w:val="0"/>
          <w:divBdr>
            <w:top w:val="none" w:sz="0" w:space="0" w:color="auto"/>
            <w:left w:val="none" w:sz="0" w:space="0" w:color="auto"/>
            <w:bottom w:val="none" w:sz="0" w:space="0" w:color="auto"/>
            <w:right w:val="none" w:sz="0" w:space="0" w:color="auto"/>
          </w:divBdr>
          <w:divsChild>
            <w:div w:id="885604053">
              <w:marLeft w:val="0"/>
              <w:marRight w:val="0"/>
              <w:marTop w:val="0"/>
              <w:marBottom w:val="0"/>
              <w:divBdr>
                <w:top w:val="none" w:sz="0" w:space="0" w:color="auto"/>
                <w:left w:val="none" w:sz="0" w:space="0" w:color="auto"/>
                <w:bottom w:val="none" w:sz="0" w:space="0" w:color="auto"/>
                <w:right w:val="none" w:sz="0" w:space="0" w:color="auto"/>
              </w:divBdr>
            </w:div>
          </w:divsChild>
        </w:div>
        <w:div w:id="305358440">
          <w:marLeft w:val="0"/>
          <w:marRight w:val="0"/>
          <w:marTop w:val="0"/>
          <w:marBottom w:val="0"/>
          <w:divBdr>
            <w:top w:val="none" w:sz="0" w:space="0" w:color="auto"/>
            <w:left w:val="none" w:sz="0" w:space="0" w:color="auto"/>
            <w:bottom w:val="none" w:sz="0" w:space="0" w:color="auto"/>
            <w:right w:val="none" w:sz="0" w:space="0" w:color="auto"/>
          </w:divBdr>
          <w:divsChild>
            <w:div w:id="1552155702">
              <w:marLeft w:val="0"/>
              <w:marRight w:val="0"/>
              <w:marTop w:val="0"/>
              <w:marBottom w:val="0"/>
              <w:divBdr>
                <w:top w:val="none" w:sz="0" w:space="0" w:color="auto"/>
                <w:left w:val="none" w:sz="0" w:space="0" w:color="auto"/>
                <w:bottom w:val="none" w:sz="0" w:space="0" w:color="auto"/>
                <w:right w:val="none" w:sz="0" w:space="0" w:color="auto"/>
              </w:divBdr>
            </w:div>
          </w:divsChild>
        </w:div>
        <w:div w:id="330764279">
          <w:marLeft w:val="0"/>
          <w:marRight w:val="0"/>
          <w:marTop w:val="0"/>
          <w:marBottom w:val="0"/>
          <w:divBdr>
            <w:top w:val="none" w:sz="0" w:space="0" w:color="auto"/>
            <w:left w:val="none" w:sz="0" w:space="0" w:color="auto"/>
            <w:bottom w:val="none" w:sz="0" w:space="0" w:color="auto"/>
            <w:right w:val="none" w:sz="0" w:space="0" w:color="auto"/>
          </w:divBdr>
          <w:divsChild>
            <w:div w:id="100228927">
              <w:marLeft w:val="0"/>
              <w:marRight w:val="0"/>
              <w:marTop w:val="0"/>
              <w:marBottom w:val="0"/>
              <w:divBdr>
                <w:top w:val="none" w:sz="0" w:space="0" w:color="auto"/>
                <w:left w:val="none" w:sz="0" w:space="0" w:color="auto"/>
                <w:bottom w:val="none" w:sz="0" w:space="0" w:color="auto"/>
                <w:right w:val="none" w:sz="0" w:space="0" w:color="auto"/>
              </w:divBdr>
            </w:div>
          </w:divsChild>
        </w:div>
        <w:div w:id="342514104">
          <w:marLeft w:val="0"/>
          <w:marRight w:val="0"/>
          <w:marTop w:val="0"/>
          <w:marBottom w:val="0"/>
          <w:divBdr>
            <w:top w:val="none" w:sz="0" w:space="0" w:color="auto"/>
            <w:left w:val="none" w:sz="0" w:space="0" w:color="auto"/>
            <w:bottom w:val="none" w:sz="0" w:space="0" w:color="auto"/>
            <w:right w:val="none" w:sz="0" w:space="0" w:color="auto"/>
          </w:divBdr>
          <w:divsChild>
            <w:div w:id="1057631743">
              <w:marLeft w:val="0"/>
              <w:marRight w:val="0"/>
              <w:marTop w:val="0"/>
              <w:marBottom w:val="0"/>
              <w:divBdr>
                <w:top w:val="none" w:sz="0" w:space="0" w:color="auto"/>
                <w:left w:val="none" w:sz="0" w:space="0" w:color="auto"/>
                <w:bottom w:val="none" w:sz="0" w:space="0" w:color="auto"/>
                <w:right w:val="none" w:sz="0" w:space="0" w:color="auto"/>
              </w:divBdr>
            </w:div>
          </w:divsChild>
        </w:div>
        <w:div w:id="396981796">
          <w:marLeft w:val="0"/>
          <w:marRight w:val="0"/>
          <w:marTop w:val="0"/>
          <w:marBottom w:val="0"/>
          <w:divBdr>
            <w:top w:val="none" w:sz="0" w:space="0" w:color="auto"/>
            <w:left w:val="none" w:sz="0" w:space="0" w:color="auto"/>
            <w:bottom w:val="none" w:sz="0" w:space="0" w:color="auto"/>
            <w:right w:val="none" w:sz="0" w:space="0" w:color="auto"/>
          </w:divBdr>
          <w:divsChild>
            <w:div w:id="1403479568">
              <w:marLeft w:val="0"/>
              <w:marRight w:val="0"/>
              <w:marTop w:val="0"/>
              <w:marBottom w:val="0"/>
              <w:divBdr>
                <w:top w:val="none" w:sz="0" w:space="0" w:color="auto"/>
                <w:left w:val="none" w:sz="0" w:space="0" w:color="auto"/>
                <w:bottom w:val="none" w:sz="0" w:space="0" w:color="auto"/>
                <w:right w:val="none" w:sz="0" w:space="0" w:color="auto"/>
              </w:divBdr>
            </w:div>
          </w:divsChild>
        </w:div>
        <w:div w:id="437679401">
          <w:marLeft w:val="0"/>
          <w:marRight w:val="0"/>
          <w:marTop w:val="0"/>
          <w:marBottom w:val="0"/>
          <w:divBdr>
            <w:top w:val="none" w:sz="0" w:space="0" w:color="auto"/>
            <w:left w:val="none" w:sz="0" w:space="0" w:color="auto"/>
            <w:bottom w:val="none" w:sz="0" w:space="0" w:color="auto"/>
            <w:right w:val="none" w:sz="0" w:space="0" w:color="auto"/>
          </w:divBdr>
          <w:divsChild>
            <w:div w:id="306709235">
              <w:marLeft w:val="0"/>
              <w:marRight w:val="0"/>
              <w:marTop w:val="0"/>
              <w:marBottom w:val="0"/>
              <w:divBdr>
                <w:top w:val="none" w:sz="0" w:space="0" w:color="auto"/>
                <w:left w:val="none" w:sz="0" w:space="0" w:color="auto"/>
                <w:bottom w:val="none" w:sz="0" w:space="0" w:color="auto"/>
                <w:right w:val="none" w:sz="0" w:space="0" w:color="auto"/>
              </w:divBdr>
            </w:div>
          </w:divsChild>
        </w:div>
        <w:div w:id="461117256">
          <w:marLeft w:val="0"/>
          <w:marRight w:val="0"/>
          <w:marTop w:val="0"/>
          <w:marBottom w:val="0"/>
          <w:divBdr>
            <w:top w:val="none" w:sz="0" w:space="0" w:color="auto"/>
            <w:left w:val="none" w:sz="0" w:space="0" w:color="auto"/>
            <w:bottom w:val="none" w:sz="0" w:space="0" w:color="auto"/>
            <w:right w:val="none" w:sz="0" w:space="0" w:color="auto"/>
          </w:divBdr>
          <w:divsChild>
            <w:div w:id="2051371684">
              <w:marLeft w:val="0"/>
              <w:marRight w:val="0"/>
              <w:marTop w:val="0"/>
              <w:marBottom w:val="0"/>
              <w:divBdr>
                <w:top w:val="none" w:sz="0" w:space="0" w:color="auto"/>
                <w:left w:val="none" w:sz="0" w:space="0" w:color="auto"/>
                <w:bottom w:val="none" w:sz="0" w:space="0" w:color="auto"/>
                <w:right w:val="none" w:sz="0" w:space="0" w:color="auto"/>
              </w:divBdr>
            </w:div>
          </w:divsChild>
        </w:div>
        <w:div w:id="493840179">
          <w:marLeft w:val="0"/>
          <w:marRight w:val="0"/>
          <w:marTop w:val="0"/>
          <w:marBottom w:val="0"/>
          <w:divBdr>
            <w:top w:val="none" w:sz="0" w:space="0" w:color="auto"/>
            <w:left w:val="none" w:sz="0" w:space="0" w:color="auto"/>
            <w:bottom w:val="none" w:sz="0" w:space="0" w:color="auto"/>
            <w:right w:val="none" w:sz="0" w:space="0" w:color="auto"/>
          </w:divBdr>
          <w:divsChild>
            <w:div w:id="35391526">
              <w:marLeft w:val="0"/>
              <w:marRight w:val="0"/>
              <w:marTop w:val="0"/>
              <w:marBottom w:val="0"/>
              <w:divBdr>
                <w:top w:val="none" w:sz="0" w:space="0" w:color="auto"/>
                <w:left w:val="none" w:sz="0" w:space="0" w:color="auto"/>
                <w:bottom w:val="none" w:sz="0" w:space="0" w:color="auto"/>
                <w:right w:val="none" w:sz="0" w:space="0" w:color="auto"/>
              </w:divBdr>
            </w:div>
          </w:divsChild>
        </w:div>
        <w:div w:id="528370253">
          <w:marLeft w:val="0"/>
          <w:marRight w:val="0"/>
          <w:marTop w:val="0"/>
          <w:marBottom w:val="0"/>
          <w:divBdr>
            <w:top w:val="none" w:sz="0" w:space="0" w:color="auto"/>
            <w:left w:val="none" w:sz="0" w:space="0" w:color="auto"/>
            <w:bottom w:val="none" w:sz="0" w:space="0" w:color="auto"/>
            <w:right w:val="none" w:sz="0" w:space="0" w:color="auto"/>
          </w:divBdr>
          <w:divsChild>
            <w:div w:id="822936320">
              <w:marLeft w:val="0"/>
              <w:marRight w:val="0"/>
              <w:marTop w:val="0"/>
              <w:marBottom w:val="0"/>
              <w:divBdr>
                <w:top w:val="none" w:sz="0" w:space="0" w:color="auto"/>
                <w:left w:val="none" w:sz="0" w:space="0" w:color="auto"/>
                <w:bottom w:val="none" w:sz="0" w:space="0" w:color="auto"/>
                <w:right w:val="none" w:sz="0" w:space="0" w:color="auto"/>
              </w:divBdr>
            </w:div>
          </w:divsChild>
        </w:div>
        <w:div w:id="570430214">
          <w:marLeft w:val="0"/>
          <w:marRight w:val="0"/>
          <w:marTop w:val="0"/>
          <w:marBottom w:val="0"/>
          <w:divBdr>
            <w:top w:val="none" w:sz="0" w:space="0" w:color="auto"/>
            <w:left w:val="none" w:sz="0" w:space="0" w:color="auto"/>
            <w:bottom w:val="none" w:sz="0" w:space="0" w:color="auto"/>
            <w:right w:val="none" w:sz="0" w:space="0" w:color="auto"/>
          </w:divBdr>
          <w:divsChild>
            <w:div w:id="880827226">
              <w:marLeft w:val="0"/>
              <w:marRight w:val="0"/>
              <w:marTop w:val="0"/>
              <w:marBottom w:val="0"/>
              <w:divBdr>
                <w:top w:val="none" w:sz="0" w:space="0" w:color="auto"/>
                <w:left w:val="none" w:sz="0" w:space="0" w:color="auto"/>
                <w:bottom w:val="none" w:sz="0" w:space="0" w:color="auto"/>
                <w:right w:val="none" w:sz="0" w:space="0" w:color="auto"/>
              </w:divBdr>
            </w:div>
          </w:divsChild>
        </w:div>
        <w:div w:id="576593219">
          <w:marLeft w:val="0"/>
          <w:marRight w:val="0"/>
          <w:marTop w:val="0"/>
          <w:marBottom w:val="0"/>
          <w:divBdr>
            <w:top w:val="none" w:sz="0" w:space="0" w:color="auto"/>
            <w:left w:val="none" w:sz="0" w:space="0" w:color="auto"/>
            <w:bottom w:val="none" w:sz="0" w:space="0" w:color="auto"/>
            <w:right w:val="none" w:sz="0" w:space="0" w:color="auto"/>
          </w:divBdr>
          <w:divsChild>
            <w:div w:id="1249078827">
              <w:marLeft w:val="0"/>
              <w:marRight w:val="0"/>
              <w:marTop w:val="0"/>
              <w:marBottom w:val="0"/>
              <w:divBdr>
                <w:top w:val="none" w:sz="0" w:space="0" w:color="auto"/>
                <w:left w:val="none" w:sz="0" w:space="0" w:color="auto"/>
                <w:bottom w:val="none" w:sz="0" w:space="0" w:color="auto"/>
                <w:right w:val="none" w:sz="0" w:space="0" w:color="auto"/>
              </w:divBdr>
            </w:div>
          </w:divsChild>
        </w:div>
        <w:div w:id="598677385">
          <w:marLeft w:val="0"/>
          <w:marRight w:val="0"/>
          <w:marTop w:val="0"/>
          <w:marBottom w:val="0"/>
          <w:divBdr>
            <w:top w:val="none" w:sz="0" w:space="0" w:color="auto"/>
            <w:left w:val="none" w:sz="0" w:space="0" w:color="auto"/>
            <w:bottom w:val="none" w:sz="0" w:space="0" w:color="auto"/>
            <w:right w:val="none" w:sz="0" w:space="0" w:color="auto"/>
          </w:divBdr>
          <w:divsChild>
            <w:div w:id="423846680">
              <w:marLeft w:val="0"/>
              <w:marRight w:val="0"/>
              <w:marTop w:val="0"/>
              <w:marBottom w:val="0"/>
              <w:divBdr>
                <w:top w:val="none" w:sz="0" w:space="0" w:color="auto"/>
                <w:left w:val="none" w:sz="0" w:space="0" w:color="auto"/>
                <w:bottom w:val="none" w:sz="0" w:space="0" w:color="auto"/>
                <w:right w:val="none" w:sz="0" w:space="0" w:color="auto"/>
              </w:divBdr>
            </w:div>
          </w:divsChild>
        </w:div>
        <w:div w:id="682560386">
          <w:marLeft w:val="0"/>
          <w:marRight w:val="0"/>
          <w:marTop w:val="0"/>
          <w:marBottom w:val="0"/>
          <w:divBdr>
            <w:top w:val="none" w:sz="0" w:space="0" w:color="auto"/>
            <w:left w:val="none" w:sz="0" w:space="0" w:color="auto"/>
            <w:bottom w:val="none" w:sz="0" w:space="0" w:color="auto"/>
            <w:right w:val="none" w:sz="0" w:space="0" w:color="auto"/>
          </w:divBdr>
          <w:divsChild>
            <w:div w:id="1637447442">
              <w:marLeft w:val="0"/>
              <w:marRight w:val="0"/>
              <w:marTop w:val="0"/>
              <w:marBottom w:val="0"/>
              <w:divBdr>
                <w:top w:val="none" w:sz="0" w:space="0" w:color="auto"/>
                <w:left w:val="none" w:sz="0" w:space="0" w:color="auto"/>
                <w:bottom w:val="none" w:sz="0" w:space="0" w:color="auto"/>
                <w:right w:val="none" w:sz="0" w:space="0" w:color="auto"/>
              </w:divBdr>
            </w:div>
          </w:divsChild>
        </w:div>
        <w:div w:id="694967650">
          <w:marLeft w:val="0"/>
          <w:marRight w:val="0"/>
          <w:marTop w:val="0"/>
          <w:marBottom w:val="0"/>
          <w:divBdr>
            <w:top w:val="none" w:sz="0" w:space="0" w:color="auto"/>
            <w:left w:val="none" w:sz="0" w:space="0" w:color="auto"/>
            <w:bottom w:val="none" w:sz="0" w:space="0" w:color="auto"/>
            <w:right w:val="none" w:sz="0" w:space="0" w:color="auto"/>
          </w:divBdr>
          <w:divsChild>
            <w:div w:id="1949924372">
              <w:marLeft w:val="0"/>
              <w:marRight w:val="0"/>
              <w:marTop w:val="0"/>
              <w:marBottom w:val="0"/>
              <w:divBdr>
                <w:top w:val="none" w:sz="0" w:space="0" w:color="auto"/>
                <w:left w:val="none" w:sz="0" w:space="0" w:color="auto"/>
                <w:bottom w:val="none" w:sz="0" w:space="0" w:color="auto"/>
                <w:right w:val="none" w:sz="0" w:space="0" w:color="auto"/>
              </w:divBdr>
            </w:div>
          </w:divsChild>
        </w:div>
        <w:div w:id="781149635">
          <w:marLeft w:val="0"/>
          <w:marRight w:val="0"/>
          <w:marTop w:val="0"/>
          <w:marBottom w:val="0"/>
          <w:divBdr>
            <w:top w:val="none" w:sz="0" w:space="0" w:color="auto"/>
            <w:left w:val="none" w:sz="0" w:space="0" w:color="auto"/>
            <w:bottom w:val="none" w:sz="0" w:space="0" w:color="auto"/>
            <w:right w:val="none" w:sz="0" w:space="0" w:color="auto"/>
          </w:divBdr>
          <w:divsChild>
            <w:div w:id="1833065626">
              <w:marLeft w:val="0"/>
              <w:marRight w:val="0"/>
              <w:marTop w:val="0"/>
              <w:marBottom w:val="0"/>
              <w:divBdr>
                <w:top w:val="none" w:sz="0" w:space="0" w:color="auto"/>
                <w:left w:val="none" w:sz="0" w:space="0" w:color="auto"/>
                <w:bottom w:val="none" w:sz="0" w:space="0" w:color="auto"/>
                <w:right w:val="none" w:sz="0" w:space="0" w:color="auto"/>
              </w:divBdr>
            </w:div>
          </w:divsChild>
        </w:div>
        <w:div w:id="798497577">
          <w:marLeft w:val="0"/>
          <w:marRight w:val="0"/>
          <w:marTop w:val="0"/>
          <w:marBottom w:val="0"/>
          <w:divBdr>
            <w:top w:val="none" w:sz="0" w:space="0" w:color="auto"/>
            <w:left w:val="none" w:sz="0" w:space="0" w:color="auto"/>
            <w:bottom w:val="none" w:sz="0" w:space="0" w:color="auto"/>
            <w:right w:val="none" w:sz="0" w:space="0" w:color="auto"/>
          </w:divBdr>
          <w:divsChild>
            <w:div w:id="972910758">
              <w:marLeft w:val="0"/>
              <w:marRight w:val="0"/>
              <w:marTop w:val="0"/>
              <w:marBottom w:val="0"/>
              <w:divBdr>
                <w:top w:val="none" w:sz="0" w:space="0" w:color="auto"/>
                <w:left w:val="none" w:sz="0" w:space="0" w:color="auto"/>
                <w:bottom w:val="none" w:sz="0" w:space="0" w:color="auto"/>
                <w:right w:val="none" w:sz="0" w:space="0" w:color="auto"/>
              </w:divBdr>
            </w:div>
          </w:divsChild>
        </w:div>
        <w:div w:id="808935933">
          <w:marLeft w:val="0"/>
          <w:marRight w:val="0"/>
          <w:marTop w:val="0"/>
          <w:marBottom w:val="0"/>
          <w:divBdr>
            <w:top w:val="none" w:sz="0" w:space="0" w:color="auto"/>
            <w:left w:val="none" w:sz="0" w:space="0" w:color="auto"/>
            <w:bottom w:val="none" w:sz="0" w:space="0" w:color="auto"/>
            <w:right w:val="none" w:sz="0" w:space="0" w:color="auto"/>
          </w:divBdr>
          <w:divsChild>
            <w:div w:id="888806740">
              <w:marLeft w:val="0"/>
              <w:marRight w:val="0"/>
              <w:marTop w:val="0"/>
              <w:marBottom w:val="0"/>
              <w:divBdr>
                <w:top w:val="none" w:sz="0" w:space="0" w:color="auto"/>
                <w:left w:val="none" w:sz="0" w:space="0" w:color="auto"/>
                <w:bottom w:val="none" w:sz="0" w:space="0" w:color="auto"/>
                <w:right w:val="none" w:sz="0" w:space="0" w:color="auto"/>
              </w:divBdr>
            </w:div>
            <w:div w:id="999582015">
              <w:marLeft w:val="0"/>
              <w:marRight w:val="0"/>
              <w:marTop w:val="0"/>
              <w:marBottom w:val="0"/>
              <w:divBdr>
                <w:top w:val="none" w:sz="0" w:space="0" w:color="auto"/>
                <w:left w:val="none" w:sz="0" w:space="0" w:color="auto"/>
                <w:bottom w:val="none" w:sz="0" w:space="0" w:color="auto"/>
                <w:right w:val="none" w:sz="0" w:space="0" w:color="auto"/>
              </w:divBdr>
            </w:div>
            <w:div w:id="1981299976">
              <w:marLeft w:val="0"/>
              <w:marRight w:val="0"/>
              <w:marTop w:val="0"/>
              <w:marBottom w:val="0"/>
              <w:divBdr>
                <w:top w:val="none" w:sz="0" w:space="0" w:color="auto"/>
                <w:left w:val="none" w:sz="0" w:space="0" w:color="auto"/>
                <w:bottom w:val="none" w:sz="0" w:space="0" w:color="auto"/>
                <w:right w:val="none" w:sz="0" w:space="0" w:color="auto"/>
              </w:divBdr>
            </w:div>
            <w:div w:id="2115858181">
              <w:marLeft w:val="0"/>
              <w:marRight w:val="0"/>
              <w:marTop w:val="0"/>
              <w:marBottom w:val="0"/>
              <w:divBdr>
                <w:top w:val="none" w:sz="0" w:space="0" w:color="auto"/>
                <w:left w:val="none" w:sz="0" w:space="0" w:color="auto"/>
                <w:bottom w:val="none" w:sz="0" w:space="0" w:color="auto"/>
                <w:right w:val="none" w:sz="0" w:space="0" w:color="auto"/>
              </w:divBdr>
            </w:div>
          </w:divsChild>
        </w:div>
        <w:div w:id="850024574">
          <w:marLeft w:val="0"/>
          <w:marRight w:val="0"/>
          <w:marTop w:val="0"/>
          <w:marBottom w:val="0"/>
          <w:divBdr>
            <w:top w:val="none" w:sz="0" w:space="0" w:color="auto"/>
            <w:left w:val="none" w:sz="0" w:space="0" w:color="auto"/>
            <w:bottom w:val="none" w:sz="0" w:space="0" w:color="auto"/>
            <w:right w:val="none" w:sz="0" w:space="0" w:color="auto"/>
          </w:divBdr>
          <w:divsChild>
            <w:div w:id="80377108">
              <w:marLeft w:val="0"/>
              <w:marRight w:val="0"/>
              <w:marTop w:val="0"/>
              <w:marBottom w:val="0"/>
              <w:divBdr>
                <w:top w:val="none" w:sz="0" w:space="0" w:color="auto"/>
                <w:left w:val="none" w:sz="0" w:space="0" w:color="auto"/>
                <w:bottom w:val="none" w:sz="0" w:space="0" w:color="auto"/>
                <w:right w:val="none" w:sz="0" w:space="0" w:color="auto"/>
              </w:divBdr>
            </w:div>
          </w:divsChild>
        </w:div>
        <w:div w:id="855536984">
          <w:marLeft w:val="0"/>
          <w:marRight w:val="0"/>
          <w:marTop w:val="0"/>
          <w:marBottom w:val="0"/>
          <w:divBdr>
            <w:top w:val="none" w:sz="0" w:space="0" w:color="auto"/>
            <w:left w:val="none" w:sz="0" w:space="0" w:color="auto"/>
            <w:bottom w:val="none" w:sz="0" w:space="0" w:color="auto"/>
            <w:right w:val="none" w:sz="0" w:space="0" w:color="auto"/>
          </w:divBdr>
          <w:divsChild>
            <w:div w:id="364716272">
              <w:marLeft w:val="0"/>
              <w:marRight w:val="0"/>
              <w:marTop w:val="0"/>
              <w:marBottom w:val="0"/>
              <w:divBdr>
                <w:top w:val="none" w:sz="0" w:space="0" w:color="auto"/>
                <w:left w:val="none" w:sz="0" w:space="0" w:color="auto"/>
                <w:bottom w:val="none" w:sz="0" w:space="0" w:color="auto"/>
                <w:right w:val="none" w:sz="0" w:space="0" w:color="auto"/>
              </w:divBdr>
            </w:div>
          </w:divsChild>
        </w:div>
        <w:div w:id="993682295">
          <w:marLeft w:val="0"/>
          <w:marRight w:val="0"/>
          <w:marTop w:val="0"/>
          <w:marBottom w:val="0"/>
          <w:divBdr>
            <w:top w:val="none" w:sz="0" w:space="0" w:color="auto"/>
            <w:left w:val="none" w:sz="0" w:space="0" w:color="auto"/>
            <w:bottom w:val="none" w:sz="0" w:space="0" w:color="auto"/>
            <w:right w:val="none" w:sz="0" w:space="0" w:color="auto"/>
          </w:divBdr>
          <w:divsChild>
            <w:div w:id="706180893">
              <w:marLeft w:val="0"/>
              <w:marRight w:val="0"/>
              <w:marTop w:val="0"/>
              <w:marBottom w:val="0"/>
              <w:divBdr>
                <w:top w:val="none" w:sz="0" w:space="0" w:color="auto"/>
                <w:left w:val="none" w:sz="0" w:space="0" w:color="auto"/>
                <w:bottom w:val="none" w:sz="0" w:space="0" w:color="auto"/>
                <w:right w:val="none" w:sz="0" w:space="0" w:color="auto"/>
              </w:divBdr>
            </w:div>
          </w:divsChild>
        </w:div>
        <w:div w:id="1012072976">
          <w:marLeft w:val="0"/>
          <w:marRight w:val="0"/>
          <w:marTop w:val="0"/>
          <w:marBottom w:val="0"/>
          <w:divBdr>
            <w:top w:val="none" w:sz="0" w:space="0" w:color="auto"/>
            <w:left w:val="none" w:sz="0" w:space="0" w:color="auto"/>
            <w:bottom w:val="none" w:sz="0" w:space="0" w:color="auto"/>
            <w:right w:val="none" w:sz="0" w:space="0" w:color="auto"/>
          </w:divBdr>
          <w:divsChild>
            <w:div w:id="1653485963">
              <w:marLeft w:val="0"/>
              <w:marRight w:val="0"/>
              <w:marTop w:val="0"/>
              <w:marBottom w:val="0"/>
              <w:divBdr>
                <w:top w:val="none" w:sz="0" w:space="0" w:color="auto"/>
                <w:left w:val="none" w:sz="0" w:space="0" w:color="auto"/>
                <w:bottom w:val="none" w:sz="0" w:space="0" w:color="auto"/>
                <w:right w:val="none" w:sz="0" w:space="0" w:color="auto"/>
              </w:divBdr>
            </w:div>
          </w:divsChild>
        </w:div>
        <w:div w:id="1022166163">
          <w:marLeft w:val="0"/>
          <w:marRight w:val="0"/>
          <w:marTop w:val="0"/>
          <w:marBottom w:val="0"/>
          <w:divBdr>
            <w:top w:val="none" w:sz="0" w:space="0" w:color="auto"/>
            <w:left w:val="none" w:sz="0" w:space="0" w:color="auto"/>
            <w:bottom w:val="none" w:sz="0" w:space="0" w:color="auto"/>
            <w:right w:val="none" w:sz="0" w:space="0" w:color="auto"/>
          </w:divBdr>
          <w:divsChild>
            <w:div w:id="144319595">
              <w:marLeft w:val="0"/>
              <w:marRight w:val="0"/>
              <w:marTop w:val="0"/>
              <w:marBottom w:val="0"/>
              <w:divBdr>
                <w:top w:val="none" w:sz="0" w:space="0" w:color="auto"/>
                <w:left w:val="none" w:sz="0" w:space="0" w:color="auto"/>
                <w:bottom w:val="none" w:sz="0" w:space="0" w:color="auto"/>
                <w:right w:val="none" w:sz="0" w:space="0" w:color="auto"/>
              </w:divBdr>
            </w:div>
          </w:divsChild>
        </w:div>
        <w:div w:id="1025867071">
          <w:marLeft w:val="0"/>
          <w:marRight w:val="0"/>
          <w:marTop w:val="0"/>
          <w:marBottom w:val="0"/>
          <w:divBdr>
            <w:top w:val="none" w:sz="0" w:space="0" w:color="auto"/>
            <w:left w:val="none" w:sz="0" w:space="0" w:color="auto"/>
            <w:bottom w:val="none" w:sz="0" w:space="0" w:color="auto"/>
            <w:right w:val="none" w:sz="0" w:space="0" w:color="auto"/>
          </w:divBdr>
          <w:divsChild>
            <w:div w:id="910311680">
              <w:marLeft w:val="0"/>
              <w:marRight w:val="0"/>
              <w:marTop w:val="0"/>
              <w:marBottom w:val="0"/>
              <w:divBdr>
                <w:top w:val="none" w:sz="0" w:space="0" w:color="auto"/>
                <w:left w:val="none" w:sz="0" w:space="0" w:color="auto"/>
                <w:bottom w:val="none" w:sz="0" w:space="0" w:color="auto"/>
                <w:right w:val="none" w:sz="0" w:space="0" w:color="auto"/>
              </w:divBdr>
            </w:div>
          </w:divsChild>
        </w:div>
        <w:div w:id="1066146983">
          <w:marLeft w:val="0"/>
          <w:marRight w:val="0"/>
          <w:marTop w:val="0"/>
          <w:marBottom w:val="0"/>
          <w:divBdr>
            <w:top w:val="none" w:sz="0" w:space="0" w:color="auto"/>
            <w:left w:val="none" w:sz="0" w:space="0" w:color="auto"/>
            <w:bottom w:val="none" w:sz="0" w:space="0" w:color="auto"/>
            <w:right w:val="none" w:sz="0" w:space="0" w:color="auto"/>
          </w:divBdr>
          <w:divsChild>
            <w:div w:id="1404599963">
              <w:marLeft w:val="0"/>
              <w:marRight w:val="0"/>
              <w:marTop w:val="0"/>
              <w:marBottom w:val="0"/>
              <w:divBdr>
                <w:top w:val="none" w:sz="0" w:space="0" w:color="auto"/>
                <w:left w:val="none" w:sz="0" w:space="0" w:color="auto"/>
                <w:bottom w:val="none" w:sz="0" w:space="0" w:color="auto"/>
                <w:right w:val="none" w:sz="0" w:space="0" w:color="auto"/>
              </w:divBdr>
            </w:div>
          </w:divsChild>
        </w:div>
        <w:div w:id="1077824575">
          <w:marLeft w:val="0"/>
          <w:marRight w:val="0"/>
          <w:marTop w:val="0"/>
          <w:marBottom w:val="0"/>
          <w:divBdr>
            <w:top w:val="none" w:sz="0" w:space="0" w:color="auto"/>
            <w:left w:val="none" w:sz="0" w:space="0" w:color="auto"/>
            <w:bottom w:val="none" w:sz="0" w:space="0" w:color="auto"/>
            <w:right w:val="none" w:sz="0" w:space="0" w:color="auto"/>
          </w:divBdr>
          <w:divsChild>
            <w:div w:id="122778053">
              <w:marLeft w:val="0"/>
              <w:marRight w:val="0"/>
              <w:marTop w:val="0"/>
              <w:marBottom w:val="0"/>
              <w:divBdr>
                <w:top w:val="none" w:sz="0" w:space="0" w:color="auto"/>
                <w:left w:val="none" w:sz="0" w:space="0" w:color="auto"/>
                <w:bottom w:val="none" w:sz="0" w:space="0" w:color="auto"/>
                <w:right w:val="none" w:sz="0" w:space="0" w:color="auto"/>
              </w:divBdr>
            </w:div>
          </w:divsChild>
        </w:div>
        <w:div w:id="1091202337">
          <w:marLeft w:val="0"/>
          <w:marRight w:val="0"/>
          <w:marTop w:val="0"/>
          <w:marBottom w:val="0"/>
          <w:divBdr>
            <w:top w:val="none" w:sz="0" w:space="0" w:color="auto"/>
            <w:left w:val="none" w:sz="0" w:space="0" w:color="auto"/>
            <w:bottom w:val="none" w:sz="0" w:space="0" w:color="auto"/>
            <w:right w:val="none" w:sz="0" w:space="0" w:color="auto"/>
          </w:divBdr>
          <w:divsChild>
            <w:div w:id="1123882497">
              <w:marLeft w:val="0"/>
              <w:marRight w:val="0"/>
              <w:marTop w:val="0"/>
              <w:marBottom w:val="0"/>
              <w:divBdr>
                <w:top w:val="none" w:sz="0" w:space="0" w:color="auto"/>
                <w:left w:val="none" w:sz="0" w:space="0" w:color="auto"/>
                <w:bottom w:val="none" w:sz="0" w:space="0" w:color="auto"/>
                <w:right w:val="none" w:sz="0" w:space="0" w:color="auto"/>
              </w:divBdr>
            </w:div>
          </w:divsChild>
        </w:div>
        <w:div w:id="1273129516">
          <w:marLeft w:val="0"/>
          <w:marRight w:val="0"/>
          <w:marTop w:val="0"/>
          <w:marBottom w:val="0"/>
          <w:divBdr>
            <w:top w:val="none" w:sz="0" w:space="0" w:color="auto"/>
            <w:left w:val="none" w:sz="0" w:space="0" w:color="auto"/>
            <w:bottom w:val="none" w:sz="0" w:space="0" w:color="auto"/>
            <w:right w:val="none" w:sz="0" w:space="0" w:color="auto"/>
          </w:divBdr>
          <w:divsChild>
            <w:div w:id="1168254133">
              <w:marLeft w:val="0"/>
              <w:marRight w:val="0"/>
              <w:marTop w:val="0"/>
              <w:marBottom w:val="0"/>
              <w:divBdr>
                <w:top w:val="none" w:sz="0" w:space="0" w:color="auto"/>
                <w:left w:val="none" w:sz="0" w:space="0" w:color="auto"/>
                <w:bottom w:val="none" w:sz="0" w:space="0" w:color="auto"/>
                <w:right w:val="none" w:sz="0" w:space="0" w:color="auto"/>
              </w:divBdr>
            </w:div>
          </w:divsChild>
        </w:div>
        <w:div w:id="1281643140">
          <w:marLeft w:val="0"/>
          <w:marRight w:val="0"/>
          <w:marTop w:val="0"/>
          <w:marBottom w:val="0"/>
          <w:divBdr>
            <w:top w:val="none" w:sz="0" w:space="0" w:color="auto"/>
            <w:left w:val="none" w:sz="0" w:space="0" w:color="auto"/>
            <w:bottom w:val="none" w:sz="0" w:space="0" w:color="auto"/>
            <w:right w:val="none" w:sz="0" w:space="0" w:color="auto"/>
          </w:divBdr>
          <w:divsChild>
            <w:div w:id="1751806869">
              <w:marLeft w:val="0"/>
              <w:marRight w:val="0"/>
              <w:marTop w:val="0"/>
              <w:marBottom w:val="0"/>
              <w:divBdr>
                <w:top w:val="none" w:sz="0" w:space="0" w:color="auto"/>
                <w:left w:val="none" w:sz="0" w:space="0" w:color="auto"/>
                <w:bottom w:val="none" w:sz="0" w:space="0" w:color="auto"/>
                <w:right w:val="none" w:sz="0" w:space="0" w:color="auto"/>
              </w:divBdr>
            </w:div>
          </w:divsChild>
        </w:div>
        <w:div w:id="1312829145">
          <w:marLeft w:val="0"/>
          <w:marRight w:val="0"/>
          <w:marTop w:val="0"/>
          <w:marBottom w:val="0"/>
          <w:divBdr>
            <w:top w:val="none" w:sz="0" w:space="0" w:color="auto"/>
            <w:left w:val="none" w:sz="0" w:space="0" w:color="auto"/>
            <w:bottom w:val="none" w:sz="0" w:space="0" w:color="auto"/>
            <w:right w:val="none" w:sz="0" w:space="0" w:color="auto"/>
          </w:divBdr>
          <w:divsChild>
            <w:div w:id="843595502">
              <w:marLeft w:val="0"/>
              <w:marRight w:val="0"/>
              <w:marTop w:val="0"/>
              <w:marBottom w:val="0"/>
              <w:divBdr>
                <w:top w:val="none" w:sz="0" w:space="0" w:color="auto"/>
                <w:left w:val="none" w:sz="0" w:space="0" w:color="auto"/>
                <w:bottom w:val="none" w:sz="0" w:space="0" w:color="auto"/>
                <w:right w:val="none" w:sz="0" w:space="0" w:color="auto"/>
              </w:divBdr>
            </w:div>
          </w:divsChild>
        </w:div>
        <w:div w:id="1318878904">
          <w:marLeft w:val="0"/>
          <w:marRight w:val="0"/>
          <w:marTop w:val="0"/>
          <w:marBottom w:val="0"/>
          <w:divBdr>
            <w:top w:val="none" w:sz="0" w:space="0" w:color="auto"/>
            <w:left w:val="none" w:sz="0" w:space="0" w:color="auto"/>
            <w:bottom w:val="none" w:sz="0" w:space="0" w:color="auto"/>
            <w:right w:val="none" w:sz="0" w:space="0" w:color="auto"/>
          </w:divBdr>
          <w:divsChild>
            <w:div w:id="1900363385">
              <w:marLeft w:val="0"/>
              <w:marRight w:val="0"/>
              <w:marTop w:val="0"/>
              <w:marBottom w:val="0"/>
              <w:divBdr>
                <w:top w:val="none" w:sz="0" w:space="0" w:color="auto"/>
                <w:left w:val="none" w:sz="0" w:space="0" w:color="auto"/>
                <w:bottom w:val="none" w:sz="0" w:space="0" w:color="auto"/>
                <w:right w:val="none" w:sz="0" w:space="0" w:color="auto"/>
              </w:divBdr>
            </w:div>
          </w:divsChild>
        </w:div>
        <w:div w:id="1383745327">
          <w:marLeft w:val="0"/>
          <w:marRight w:val="0"/>
          <w:marTop w:val="0"/>
          <w:marBottom w:val="0"/>
          <w:divBdr>
            <w:top w:val="none" w:sz="0" w:space="0" w:color="auto"/>
            <w:left w:val="none" w:sz="0" w:space="0" w:color="auto"/>
            <w:bottom w:val="none" w:sz="0" w:space="0" w:color="auto"/>
            <w:right w:val="none" w:sz="0" w:space="0" w:color="auto"/>
          </w:divBdr>
          <w:divsChild>
            <w:div w:id="247927094">
              <w:marLeft w:val="0"/>
              <w:marRight w:val="0"/>
              <w:marTop w:val="0"/>
              <w:marBottom w:val="0"/>
              <w:divBdr>
                <w:top w:val="none" w:sz="0" w:space="0" w:color="auto"/>
                <w:left w:val="none" w:sz="0" w:space="0" w:color="auto"/>
                <w:bottom w:val="none" w:sz="0" w:space="0" w:color="auto"/>
                <w:right w:val="none" w:sz="0" w:space="0" w:color="auto"/>
              </w:divBdr>
            </w:div>
          </w:divsChild>
        </w:div>
        <w:div w:id="1396705413">
          <w:marLeft w:val="0"/>
          <w:marRight w:val="0"/>
          <w:marTop w:val="0"/>
          <w:marBottom w:val="0"/>
          <w:divBdr>
            <w:top w:val="none" w:sz="0" w:space="0" w:color="auto"/>
            <w:left w:val="none" w:sz="0" w:space="0" w:color="auto"/>
            <w:bottom w:val="none" w:sz="0" w:space="0" w:color="auto"/>
            <w:right w:val="none" w:sz="0" w:space="0" w:color="auto"/>
          </w:divBdr>
          <w:divsChild>
            <w:div w:id="708456277">
              <w:marLeft w:val="0"/>
              <w:marRight w:val="0"/>
              <w:marTop w:val="0"/>
              <w:marBottom w:val="0"/>
              <w:divBdr>
                <w:top w:val="none" w:sz="0" w:space="0" w:color="auto"/>
                <w:left w:val="none" w:sz="0" w:space="0" w:color="auto"/>
                <w:bottom w:val="none" w:sz="0" w:space="0" w:color="auto"/>
                <w:right w:val="none" w:sz="0" w:space="0" w:color="auto"/>
              </w:divBdr>
            </w:div>
          </w:divsChild>
        </w:div>
        <w:div w:id="1411848941">
          <w:marLeft w:val="0"/>
          <w:marRight w:val="0"/>
          <w:marTop w:val="0"/>
          <w:marBottom w:val="0"/>
          <w:divBdr>
            <w:top w:val="none" w:sz="0" w:space="0" w:color="auto"/>
            <w:left w:val="none" w:sz="0" w:space="0" w:color="auto"/>
            <w:bottom w:val="none" w:sz="0" w:space="0" w:color="auto"/>
            <w:right w:val="none" w:sz="0" w:space="0" w:color="auto"/>
          </w:divBdr>
          <w:divsChild>
            <w:div w:id="2004814480">
              <w:marLeft w:val="0"/>
              <w:marRight w:val="0"/>
              <w:marTop w:val="0"/>
              <w:marBottom w:val="0"/>
              <w:divBdr>
                <w:top w:val="none" w:sz="0" w:space="0" w:color="auto"/>
                <w:left w:val="none" w:sz="0" w:space="0" w:color="auto"/>
                <w:bottom w:val="none" w:sz="0" w:space="0" w:color="auto"/>
                <w:right w:val="none" w:sz="0" w:space="0" w:color="auto"/>
              </w:divBdr>
            </w:div>
          </w:divsChild>
        </w:div>
        <w:div w:id="1440444826">
          <w:marLeft w:val="0"/>
          <w:marRight w:val="0"/>
          <w:marTop w:val="0"/>
          <w:marBottom w:val="0"/>
          <w:divBdr>
            <w:top w:val="none" w:sz="0" w:space="0" w:color="auto"/>
            <w:left w:val="none" w:sz="0" w:space="0" w:color="auto"/>
            <w:bottom w:val="none" w:sz="0" w:space="0" w:color="auto"/>
            <w:right w:val="none" w:sz="0" w:space="0" w:color="auto"/>
          </w:divBdr>
          <w:divsChild>
            <w:div w:id="1201939811">
              <w:marLeft w:val="0"/>
              <w:marRight w:val="0"/>
              <w:marTop w:val="0"/>
              <w:marBottom w:val="0"/>
              <w:divBdr>
                <w:top w:val="none" w:sz="0" w:space="0" w:color="auto"/>
                <w:left w:val="none" w:sz="0" w:space="0" w:color="auto"/>
                <w:bottom w:val="none" w:sz="0" w:space="0" w:color="auto"/>
                <w:right w:val="none" w:sz="0" w:space="0" w:color="auto"/>
              </w:divBdr>
            </w:div>
            <w:div w:id="1516380751">
              <w:marLeft w:val="0"/>
              <w:marRight w:val="0"/>
              <w:marTop w:val="0"/>
              <w:marBottom w:val="0"/>
              <w:divBdr>
                <w:top w:val="none" w:sz="0" w:space="0" w:color="auto"/>
                <w:left w:val="none" w:sz="0" w:space="0" w:color="auto"/>
                <w:bottom w:val="none" w:sz="0" w:space="0" w:color="auto"/>
                <w:right w:val="none" w:sz="0" w:space="0" w:color="auto"/>
              </w:divBdr>
            </w:div>
            <w:div w:id="1920864529">
              <w:marLeft w:val="0"/>
              <w:marRight w:val="0"/>
              <w:marTop w:val="0"/>
              <w:marBottom w:val="0"/>
              <w:divBdr>
                <w:top w:val="none" w:sz="0" w:space="0" w:color="auto"/>
                <w:left w:val="none" w:sz="0" w:space="0" w:color="auto"/>
                <w:bottom w:val="none" w:sz="0" w:space="0" w:color="auto"/>
                <w:right w:val="none" w:sz="0" w:space="0" w:color="auto"/>
              </w:divBdr>
            </w:div>
            <w:div w:id="1966233659">
              <w:marLeft w:val="0"/>
              <w:marRight w:val="0"/>
              <w:marTop w:val="0"/>
              <w:marBottom w:val="0"/>
              <w:divBdr>
                <w:top w:val="none" w:sz="0" w:space="0" w:color="auto"/>
                <w:left w:val="none" w:sz="0" w:space="0" w:color="auto"/>
                <w:bottom w:val="none" w:sz="0" w:space="0" w:color="auto"/>
                <w:right w:val="none" w:sz="0" w:space="0" w:color="auto"/>
              </w:divBdr>
            </w:div>
          </w:divsChild>
        </w:div>
        <w:div w:id="1461604940">
          <w:marLeft w:val="0"/>
          <w:marRight w:val="0"/>
          <w:marTop w:val="0"/>
          <w:marBottom w:val="0"/>
          <w:divBdr>
            <w:top w:val="none" w:sz="0" w:space="0" w:color="auto"/>
            <w:left w:val="none" w:sz="0" w:space="0" w:color="auto"/>
            <w:bottom w:val="none" w:sz="0" w:space="0" w:color="auto"/>
            <w:right w:val="none" w:sz="0" w:space="0" w:color="auto"/>
          </w:divBdr>
          <w:divsChild>
            <w:div w:id="267203033">
              <w:marLeft w:val="0"/>
              <w:marRight w:val="0"/>
              <w:marTop w:val="0"/>
              <w:marBottom w:val="0"/>
              <w:divBdr>
                <w:top w:val="none" w:sz="0" w:space="0" w:color="auto"/>
                <w:left w:val="none" w:sz="0" w:space="0" w:color="auto"/>
                <w:bottom w:val="none" w:sz="0" w:space="0" w:color="auto"/>
                <w:right w:val="none" w:sz="0" w:space="0" w:color="auto"/>
              </w:divBdr>
            </w:div>
          </w:divsChild>
        </w:div>
        <w:div w:id="1469320047">
          <w:marLeft w:val="0"/>
          <w:marRight w:val="0"/>
          <w:marTop w:val="0"/>
          <w:marBottom w:val="0"/>
          <w:divBdr>
            <w:top w:val="none" w:sz="0" w:space="0" w:color="auto"/>
            <w:left w:val="none" w:sz="0" w:space="0" w:color="auto"/>
            <w:bottom w:val="none" w:sz="0" w:space="0" w:color="auto"/>
            <w:right w:val="none" w:sz="0" w:space="0" w:color="auto"/>
          </w:divBdr>
          <w:divsChild>
            <w:div w:id="874273730">
              <w:marLeft w:val="0"/>
              <w:marRight w:val="0"/>
              <w:marTop w:val="0"/>
              <w:marBottom w:val="0"/>
              <w:divBdr>
                <w:top w:val="none" w:sz="0" w:space="0" w:color="auto"/>
                <w:left w:val="none" w:sz="0" w:space="0" w:color="auto"/>
                <w:bottom w:val="none" w:sz="0" w:space="0" w:color="auto"/>
                <w:right w:val="none" w:sz="0" w:space="0" w:color="auto"/>
              </w:divBdr>
            </w:div>
            <w:div w:id="1218668302">
              <w:marLeft w:val="0"/>
              <w:marRight w:val="0"/>
              <w:marTop w:val="0"/>
              <w:marBottom w:val="0"/>
              <w:divBdr>
                <w:top w:val="none" w:sz="0" w:space="0" w:color="auto"/>
                <w:left w:val="none" w:sz="0" w:space="0" w:color="auto"/>
                <w:bottom w:val="none" w:sz="0" w:space="0" w:color="auto"/>
                <w:right w:val="none" w:sz="0" w:space="0" w:color="auto"/>
              </w:divBdr>
            </w:div>
          </w:divsChild>
        </w:div>
        <w:div w:id="1590312122">
          <w:marLeft w:val="0"/>
          <w:marRight w:val="0"/>
          <w:marTop w:val="0"/>
          <w:marBottom w:val="0"/>
          <w:divBdr>
            <w:top w:val="none" w:sz="0" w:space="0" w:color="auto"/>
            <w:left w:val="none" w:sz="0" w:space="0" w:color="auto"/>
            <w:bottom w:val="none" w:sz="0" w:space="0" w:color="auto"/>
            <w:right w:val="none" w:sz="0" w:space="0" w:color="auto"/>
          </w:divBdr>
          <w:divsChild>
            <w:div w:id="1124730773">
              <w:marLeft w:val="0"/>
              <w:marRight w:val="0"/>
              <w:marTop w:val="0"/>
              <w:marBottom w:val="0"/>
              <w:divBdr>
                <w:top w:val="none" w:sz="0" w:space="0" w:color="auto"/>
                <w:left w:val="none" w:sz="0" w:space="0" w:color="auto"/>
                <w:bottom w:val="none" w:sz="0" w:space="0" w:color="auto"/>
                <w:right w:val="none" w:sz="0" w:space="0" w:color="auto"/>
              </w:divBdr>
            </w:div>
          </w:divsChild>
        </w:div>
        <w:div w:id="1595482018">
          <w:marLeft w:val="0"/>
          <w:marRight w:val="0"/>
          <w:marTop w:val="0"/>
          <w:marBottom w:val="0"/>
          <w:divBdr>
            <w:top w:val="none" w:sz="0" w:space="0" w:color="auto"/>
            <w:left w:val="none" w:sz="0" w:space="0" w:color="auto"/>
            <w:bottom w:val="none" w:sz="0" w:space="0" w:color="auto"/>
            <w:right w:val="none" w:sz="0" w:space="0" w:color="auto"/>
          </w:divBdr>
          <w:divsChild>
            <w:div w:id="1685092229">
              <w:marLeft w:val="0"/>
              <w:marRight w:val="0"/>
              <w:marTop w:val="0"/>
              <w:marBottom w:val="0"/>
              <w:divBdr>
                <w:top w:val="none" w:sz="0" w:space="0" w:color="auto"/>
                <w:left w:val="none" w:sz="0" w:space="0" w:color="auto"/>
                <w:bottom w:val="none" w:sz="0" w:space="0" w:color="auto"/>
                <w:right w:val="none" w:sz="0" w:space="0" w:color="auto"/>
              </w:divBdr>
            </w:div>
          </w:divsChild>
        </w:div>
        <w:div w:id="1669601868">
          <w:marLeft w:val="0"/>
          <w:marRight w:val="0"/>
          <w:marTop w:val="0"/>
          <w:marBottom w:val="0"/>
          <w:divBdr>
            <w:top w:val="none" w:sz="0" w:space="0" w:color="auto"/>
            <w:left w:val="none" w:sz="0" w:space="0" w:color="auto"/>
            <w:bottom w:val="none" w:sz="0" w:space="0" w:color="auto"/>
            <w:right w:val="none" w:sz="0" w:space="0" w:color="auto"/>
          </w:divBdr>
          <w:divsChild>
            <w:div w:id="1068652112">
              <w:marLeft w:val="0"/>
              <w:marRight w:val="0"/>
              <w:marTop w:val="0"/>
              <w:marBottom w:val="0"/>
              <w:divBdr>
                <w:top w:val="none" w:sz="0" w:space="0" w:color="auto"/>
                <w:left w:val="none" w:sz="0" w:space="0" w:color="auto"/>
                <w:bottom w:val="none" w:sz="0" w:space="0" w:color="auto"/>
                <w:right w:val="none" w:sz="0" w:space="0" w:color="auto"/>
              </w:divBdr>
            </w:div>
          </w:divsChild>
        </w:div>
        <w:div w:id="1690641262">
          <w:marLeft w:val="0"/>
          <w:marRight w:val="0"/>
          <w:marTop w:val="0"/>
          <w:marBottom w:val="0"/>
          <w:divBdr>
            <w:top w:val="none" w:sz="0" w:space="0" w:color="auto"/>
            <w:left w:val="none" w:sz="0" w:space="0" w:color="auto"/>
            <w:bottom w:val="none" w:sz="0" w:space="0" w:color="auto"/>
            <w:right w:val="none" w:sz="0" w:space="0" w:color="auto"/>
          </w:divBdr>
          <w:divsChild>
            <w:div w:id="1154686353">
              <w:marLeft w:val="0"/>
              <w:marRight w:val="0"/>
              <w:marTop w:val="0"/>
              <w:marBottom w:val="0"/>
              <w:divBdr>
                <w:top w:val="none" w:sz="0" w:space="0" w:color="auto"/>
                <w:left w:val="none" w:sz="0" w:space="0" w:color="auto"/>
                <w:bottom w:val="none" w:sz="0" w:space="0" w:color="auto"/>
                <w:right w:val="none" w:sz="0" w:space="0" w:color="auto"/>
              </w:divBdr>
            </w:div>
          </w:divsChild>
        </w:div>
        <w:div w:id="1807316236">
          <w:marLeft w:val="0"/>
          <w:marRight w:val="0"/>
          <w:marTop w:val="0"/>
          <w:marBottom w:val="0"/>
          <w:divBdr>
            <w:top w:val="none" w:sz="0" w:space="0" w:color="auto"/>
            <w:left w:val="none" w:sz="0" w:space="0" w:color="auto"/>
            <w:bottom w:val="none" w:sz="0" w:space="0" w:color="auto"/>
            <w:right w:val="none" w:sz="0" w:space="0" w:color="auto"/>
          </w:divBdr>
          <w:divsChild>
            <w:div w:id="220599060">
              <w:marLeft w:val="0"/>
              <w:marRight w:val="0"/>
              <w:marTop w:val="0"/>
              <w:marBottom w:val="0"/>
              <w:divBdr>
                <w:top w:val="none" w:sz="0" w:space="0" w:color="auto"/>
                <w:left w:val="none" w:sz="0" w:space="0" w:color="auto"/>
                <w:bottom w:val="none" w:sz="0" w:space="0" w:color="auto"/>
                <w:right w:val="none" w:sz="0" w:space="0" w:color="auto"/>
              </w:divBdr>
            </w:div>
          </w:divsChild>
        </w:div>
        <w:div w:id="1826966674">
          <w:marLeft w:val="0"/>
          <w:marRight w:val="0"/>
          <w:marTop w:val="0"/>
          <w:marBottom w:val="0"/>
          <w:divBdr>
            <w:top w:val="none" w:sz="0" w:space="0" w:color="auto"/>
            <w:left w:val="none" w:sz="0" w:space="0" w:color="auto"/>
            <w:bottom w:val="none" w:sz="0" w:space="0" w:color="auto"/>
            <w:right w:val="none" w:sz="0" w:space="0" w:color="auto"/>
          </w:divBdr>
          <w:divsChild>
            <w:div w:id="1563980354">
              <w:marLeft w:val="0"/>
              <w:marRight w:val="0"/>
              <w:marTop w:val="0"/>
              <w:marBottom w:val="0"/>
              <w:divBdr>
                <w:top w:val="none" w:sz="0" w:space="0" w:color="auto"/>
                <w:left w:val="none" w:sz="0" w:space="0" w:color="auto"/>
                <w:bottom w:val="none" w:sz="0" w:space="0" w:color="auto"/>
                <w:right w:val="none" w:sz="0" w:space="0" w:color="auto"/>
              </w:divBdr>
            </w:div>
          </w:divsChild>
        </w:div>
        <w:div w:id="1837766244">
          <w:marLeft w:val="0"/>
          <w:marRight w:val="0"/>
          <w:marTop w:val="0"/>
          <w:marBottom w:val="0"/>
          <w:divBdr>
            <w:top w:val="none" w:sz="0" w:space="0" w:color="auto"/>
            <w:left w:val="none" w:sz="0" w:space="0" w:color="auto"/>
            <w:bottom w:val="none" w:sz="0" w:space="0" w:color="auto"/>
            <w:right w:val="none" w:sz="0" w:space="0" w:color="auto"/>
          </w:divBdr>
          <w:divsChild>
            <w:div w:id="1320886474">
              <w:marLeft w:val="0"/>
              <w:marRight w:val="0"/>
              <w:marTop w:val="0"/>
              <w:marBottom w:val="0"/>
              <w:divBdr>
                <w:top w:val="none" w:sz="0" w:space="0" w:color="auto"/>
                <w:left w:val="none" w:sz="0" w:space="0" w:color="auto"/>
                <w:bottom w:val="none" w:sz="0" w:space="0" w:color="auto"/>
                <w:right w:val="none" w:sz="0" w:space="0" w:color="auto"/>
              </w:divBdr>
            </w:div>
          </w:divsChild>
        </w:div>
        <w:div w:id="1873878287">
          <w:marLeft w:val="0"/>
          <w:marRight w:val="0"/>
          <w:marTop w:val="0"/>
          <w:marBottom w:val="0"/>
          <w:divBdr>
            <w:top w:val="none" w:sz="0" w:space="0" w:color="auto"/>
            <w:left w:val="none" w:sz="0" w:space="0" w:color="auto"/>
            <w:bottom w:val="none" w:sz="0" w:space="0" w:color="auto"/>
            <w:right w:val="none" w:sz="0" w:space="0" w:color="auto"/>
          </w:divBdr>
          <w:divsChild>
            <w:div w:id="1530921310">
              <w:marLeft w:val="0"/>
              <w:marRight w:val="0"/>
              <w:marTop w:val="0"/>
              <w:marBottom w:val="0"/>
              <w:divBdr>
                <w:top w:val="none" w:sz="0" w:space="0" w:color="auto"/>
                <w:left w:val="none" w:sz="0" w:space="0" w:color="auto"/>
                <w:bottom w:val="none" w:sz="0" w:space="0" w:color="auto"/>
                <w:right w:val="none" w:sz="0" w:space="0" w:color="auto"/>
              </w:divBdr>
            </w:div>
          </w:divsChild>
        </w:div>
        <w:div w:id="1893686505">
          <w:marLeft w:val="0"/>
          <w:marRight w:val="0"/>
          <w:marTop w:val="0"/>
          <w:marBottom w:val="0"/>
          <w:divBdr>
            <w:top w:val="none" w:sz="0" w:space="0" w:color="auto"/>
            <w:left w:val="none" w:sz="0" w:space="0" w:color="auto"/>
            <w:bottom w:val="none" w:sz="0" w:space="0" w:color="auto"/>
            <w:right w:val="none" w:sz="0" w:space="0" w:color="auto"/>
          </w:divBdr>
          <w:divsChild>
            <w:div w:id="57944473">
              <w:marLeft w:val="0"/>
              <w:marRight w:val="0"/>
              <w:marTop w:val="0"/>
              <w:marBottom w:val="0"/>
              <w:divBdr>
                <w:top w:val="none" w:sz="0" w:space="0" w:color="auto"/>
                <w:left w:val="none" w:sz="0" w:space="0" w:color="auto"/>
                <w:bottom w:val="none" w:sz="0" w:space="0" w:color="auto"/>
                <w:right w:val="none" w:sz="0" w:space="0" w:color="auto"/>
              </w:divBdr>
            </w:div>
          </w:divsChild>
        </w:div>
        <w:div w:id="1916280476">
          <w:marLeft w:val="0"/>
          <w:marRight w:val="0"/>
          <w:marTop w:val="0"/>
          <w:marBottom w:val="0"/>
          <w:divBdr>
            <w:top w:val="none" w:sz="0" w:space="0" w:color="auto"/>
            <w:left w:val="none" w:sz="0" w:space="0" w:color="auto"/>
            <w:bottom w:val="none" w:sz="0" w:space="0" w:color="auto"/>
            <w:right w:val="none" w:sz="0" w:space="0" w:color="auto"/>
          </w:divBdr>
          <w:divsChild>
            <w:div w:id="724793952">
              <w:marLeft w:val="0"/>
              <w:marRight w:val="0"/>
              <w:marTop w:val="0"/>
              <w:marBottom w:val="0"/>
              <w:divBdr>
                <w:top w:val="none" w:sz="0" w:space="0" w:color="auto"/>
                <w:left w:val="none" w:sz="0" w:space="0" w:color="auto"/>
                <w:bottom w:val="none" w:sz="0" w:space="0" w:color="auto"/>
                <w:right w:val="none" w:sz="0" w:space="0" w:color="auto"/>
              </w:divBdr>
            </w:div>
            <w:div w:id="1227718145">
              <w:marLeft w:val="0"/>
              <w:marRight w:val="0"/>
              <w:marTop w:val="0"/>
              <w:marBottom w:val="0"/>
              <w:divBdr>
                <w:top w:val="none" w:sz="0" w:space="0" w:color="auto"/>
                <w:left w:val="none" w:sz="0" w:space="0" w:color="auto"/>
                <w:bottom w:val="none" w:sz="0" w:space="0" w:color="auto"/>
                <w:right w:val="none" w:sz="0" w:space="0" w:color="auto"/>
              </w:divBdr>
            </w:div>
          </w:divsChild>
        </w:div>
        <w:div w:id="1966885669">
          <w:marLeft w:val="0"/>
          <w:marRight w:val="0"/>
          <w:marTop w:val="0"/>
          <w:marBottom w:val="0"/>
          <w:divBdr>
            <w:top w:val="none" w:sz="0" w:space="0" w:color="auto"/>
            <w:left w:val="none" w:sz="0" w:space="0" w:color="auto"/>
            <w:bottom w:val="none" w:sz="0" w:space="0" w:color="auto"/>
            <w:right w:val="none" w:sz="0" w:space="0" w:color="auto"/>
          </w:divBdr>
          <w:divsChild>
            <w:div w:id="376901709">
              <w:marLeft w:val="0"/>
              <w:marRight w:val="0"/>
              <w:marTop w:val="0"/>
              <w:marBottom w:val="0"/>
              <w:divBdr>
                <w:top w:val="none" w:sz="0" w:space="0" w:color="auto"/>
                <w:left w:val="none" w:sz="0" w:space="0" w:color="auto"/>
                <w:bottom w:val="none" w:sz="0" w:space="0" w:color="auto"/>
                <w:right w:val="none" w:sz="0" w:space="0" w:color="auto"/>
              </w:divBdr>
            </w:div>
          </w:divsChild>
        </w:div>
        <w:div w:id="2006281740">
          <w:marLeft w:val="0"/>
          <w:marRight w:val="0"/>
          <w:marTop w:val="0"/>
          <w:marBottom w:val="0"/>
          <w:divBdr>
            <w:top w:val="none" w:sz="0" w:space="0" w:color="auto"/>
            <w:left w:val="none" w:sz="0" w:space="0" w:color="auto"/>
            <w:bottom w:val="none" w:sz="0" w:space="0" w:color="auto"/>
            <w:right w:val="none" w:sz="0" w:space="0" w:color="auto"/>
          </w:divBdr>
          <w:divsChild>
            <w:div w:id="319621928">
              <w:marLeft w:val="0"/>
              <w:marRight w:val="0"/>
              <w:marTop w:val="0"/>
              <w:marBottom w:val="0"/>
              <w:divBdr>
                <w:top w:val="none" w:sz="0" w:space="0" w:color="auto"/>
                <w:left w:val="none" w:sz="0" w:space="0" w:color="auto"/>
                <w:bottom w:val="none" w:sz="0" w:space="0" w:color="auto"/>
                <w:right w:val="none" w:sz="0" w:space="0" w:color="auto"/>
              </w:divBdr>
            </w:div>
          </w:divsChild>
        </w:div>
        <w:div w:id="2006666213">
          <w:marLeft w:val="0"/>
          <w:marRight w:val="0"/>
          <w:marTop w:val="0"/>
          <w:marBottom w:val="0"/>
          <w:divBdr>
            <w:top w:val="none" w:sz="0" w:space="0" w:color="auto"/>
            <w:left w:val="none" w:sz="0" w:space="0" w:color="auto"/>
            <w:bottom w:val="none" w:sz="0" w:space="0" w:color="auto"/>
            <w:right w:val="none" w:sz="0" w:space="0" w:color="auto"/>
          </w:divBdr>
          <w:divsChild>
            <w:div w:id="136345241">
              <w:marLeft w:val="0"/>
              <w:marRight w:val="0"/>
              <w:marTop w:val="0"/>
              <w:marBottom w:val="0"/>
              <w:divBdr>
                <w:top w:val="none" w:sz="0" w:space="0" w:color="auto"/>
                <w:left w:val="none" w:sz="0" w:space="0" w:color="auto"/>
                <w:bottom w:val="none" w:sz="0" w:space="0" w:color="auto"/>
                <w:right w:val="none" w:sz="0" w:space="0" w:color="auto"/>
              </w:divBdr>
            </w:div>
          </w:divsChild>
        </w:div>
        <w:div w:id="2042507507">
          <w:marLeft w:val="0"/>
          <w:marRight w:val="0"/>
          <w:marTop w:val="0"/>
          <w:marBottom w:val="0"/>
          <w:divBdr>
            <w:top w:val="none" w:sz="0" w:space="0" w:color="auto"/>
            <w:left w:val="none" w:sz="0" w:space="0" w:color="auto"/>
            <w:bottom w:val="none" w:sz="0" w:space="0" w:color="auto"/>
            <w:right w:val="none" w:sz="0" w:space="0" w:color="auto"/>
          </w:divBdr>
          <w:divsChild>
            <w:div w:id="1171140578">
              <w:marLeft w:val="0"/>
              <w:marRight w:val="0"/>
              <w:marTop w:val="0"/>
              <w:marBottom w:val="0"/>
              <w:divBdr>
                <w:top w:val="none" w:sz="0" w:space="0" w:color="auto"/>
                <w:left w:val="none" w:sz="0" w:space="0" w:color="auto"/>
                <w:bottom w:val="none" w:sz="0" w:space="0" w:color="auto"/>
                <w:right w:val="none" w:sz="0" w:space="0" w:color="auto"/>
              </w:divBdr>
            </w:div>
          </w:divsChild>
        </w:div>
        <w:div w:id="2056541518">
          <w:marLeft w:val="0"/>
          <w:marRight w:val="0"/>
          <w:marTop w:val="0"/>
          <w:marBottom w:val="0"/>
          <w:divBdr>
            <w:top w:val="none" w:sz="0" w:space="0" w:color="auto"/>
            <w:left w:val="none" w:sz="0" w:space="0" w:color="auto"/>
            <w:bottom w:val="none" w:sz="0" w:space="0" w:color="auto"/>
            <w:right w:val="none" w:sz="0" w:space="0" w:color="auto"/>
          </w:divBdr>
          <w:divsChild>
            <w:div w:id="1504008301">
              <w:marLeft w:val="0"/>
              <w:marRight w:val="0"/>
              <w:marTop w:val="0"/>
              <w:marBottom w:val="0"/>
              <w:divBdr>
                <w:top w:val="none" w:sz="0" w:space="0" w:color="auto"/>
                <w:left w:val="none" w:sz="0" w:space="0" w:color="auto"/>
                <w:bottom w:val="none" w:sz="0" w:space="0" w:color="auto"/>
                <w:right w:val="none" w:sz="0" w:space="0" w:color="auto"/>
              </w:divBdr>
            </w:div>
          </w:divsChild>
        </w:div>
        <w:div w:id="2069305609">
          <w:marLeft w:val="0"/>
          <w:marRight w:val="0"/>
          <w:marTop w:val="0"/>
          <w:marBottom w:val="0"/>
          <w:divBdr>
            <w:top w:val="none" w:sz="0" w:space="0" w:color="auto"/>
            <w:left w:val="none" w:sz="0" w:space="0" w:color="auto"/>
            <w:bottom w:val="none" w:sz="0" w:space="0" w:color="auto"/>
            <w:right w:val="none" w:sz="0" w:space="0" w:color="auto"/>
          </w:divBdr>
          <w:divsChild>
            <w:div w:id="997928252">
              <w:marLeft w:val="0"/>
              <w:marRight w:val="0"/>
              <w:marTop w:val="0"/>
              <w:marBottom w:val="0"/>
              <w:divBdr>
                <w:top w:val="none" w:sz="0" w:space="0" w:color="auto"/>
                <w:left w:val="none" w:sz="0" w:space="0" w:color="auto"/>
                <w:bottom w:val="none" w:sz="0" w:space="0" w:color="auto"/>
                <w:right w:val="none" w:sz="0" w:space="0" w:color="auto"/>
              </w:divBdr>
            </w:div>
          </w:divsChild>
        </w:div>
        <w:div w:id="2099787730">
          <w:marLeft w:val="0"/>
          <w:marRight w:val="0"/>
          <w:marTop w:val="0"/>
          <w:marBottom w:val="0"/>
          <w:divBdr>
            <w:top w:val="none" w:sz="0" w:space="0" w:color="auto"/>
            <w:left w:val="none" w:sz="0" w:space="0" w:color="auto"/>
            <w:bottom w:val="none" w:sz="0" w:space="0" w:color="auto"/>
            <w:right w:val="none" w:sz="0" w:space="0" w:color="auto"/>
          </w:divBdr>
          <w:divsChild>
            <w:div w:id="19974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72716">
      <w:bodyDiv w:val="1"/>
      <w:marLeft w:val="0"/>
      <w:marRight w:val="0"/>
      <w:marTop w:val="0"/>
      <w:marBottom w:val="0"/>
      <w:divBdr>
        <w:top w:val="none" w:sz="0" w:space="0" w:color="auto"/>
        <w:left w:val="none" w:sz="0" w:space="0" w:color="auto"/>
        <w:bottom w:val="none" w:sz="0" w:space="0" w:color="auto"/>
        <w:right w:val="none" w:sz="0" w:space="0" w:color="auto"/>
      </w:divBdr>
    </w:div>
    <w:div w:id="1789932773">
      <w:bodyDiv w:val="1"/>
      <w:marLeft w:val="0"/>
      <w:marRight w:val="0"/>
      <w:marTop w:val="0"/>
      <w:marBottom w:val="0"/>
      <w:divBdr>
        <w:top w:val="none" w:sz="0" w:space="0" w:color="auto"/>
        <w:left w:val="none" w:sz="0" w:space="0" w:color="auto"/>
        <w:bottom w:val="none" w:sz="0" w:space="0" w:color="auto"/>
        <w:right w:val="none" w:sz="0" w:space="0" w:color="auto"/>
      </w:divBdr>
      <w:divsChild>
        <w:div w:id="149445405">
          <w:marLeft w:val="0"/>
          <w:marRight w:val="0"/>
          <w:marTop w:val="0"/>
          <w:marBottom w:val="0"/>
          <w:divBdr>
            <w:top w:val="none" w:sz="0" w:space="0" w:color="auto"/>
            <w:left w:val="none" w:sz="0" w:space="0" w:color="auto"/>
            <w:bottom w:val="none" w:sz="0" w:space="0" w:color="auto"/>
            <w:right w:val="none" w:sz="0" w:space="0" w:color="auto"/>
          </w:divBdr>
        </w:div>
        <w:div w:id="181360499">
          <w:marLeft w:val="0"/>
          <w:marRight w:val="0"/>
          <w:marTop w:val="0"/>
          <w:marBottom w:val="0"/>
          <w:divBdr>
            <w:top w:val="none" w:sz="0" w:space="0" w:color="auto"/>
            <w:left w:val="none" w:sz="0" w:space="0" w:color="auto"/>
            <w:bottom w:val="none" w:sz="0" w:space="0" w:color="auto"/>
            <w:right w:val="none" w:sz="0" w:space="0" w:color="auto"/>
          </w:divBdr>
        </w:div>
      </w:divsChild>
    </w:div>
    <w:div w:id="1815639007">
      <w:bodyDiv w:val="1"/>
      <w:marLeft w:val="0"/>
      <w:marRight w:val="0"/>
      <w:marTop w:val="0"/>
      <w:marBottom w:val="0"/>
      <w:divBdr>
        <w:top w:val="none" w:sz="0" w:space="0" w:color="auto"/>
        <w:left w:val="none" w:sz="0" w:space="0" w:color="auto"/>
        <w:bottom w:val="none" w:sz="0" w:space="0" w:color="auto"/>
        <w:right w:val="none" w:sz="0" w:space="0" w:color="auto"/>
      </w:divBdr>
      <w:divsChild>
        <w:div w:id="132523977">
          <w:marLeft w:val="0"/>
          <w:marRight w:val="0"/>
          <w:marTop w:val="0"/>
          <w:marBottom w:val="0"/>
          <w:divBdr>
            <w:top w:val="none" w:sz="0" w:space="0" w:color="auto"/>
            <w:left w:val="none" w:sz="0" w:space="0" w:color="auto"/>
            <w:bottom w:val="none" w:sz="0" w:space="0" w:color="auto"/>
            <w:right w:val="none" w:sz="0" w:space="0" w:color="auto"/>
          </w:divBdr>
        </w:div>
      </w:divsChild>
    </w:div>
    <w:div w:id="1882325173">
      <w:bodyDiv w:val="1"/>
      <w:marLeft w:val="0"/>
      <w:marRight w:val="0"/>
      <w:marTop w:val="0"/>
      <w:marBottom w:val="0"/>
      <w:divBdr>
        <w:top w:val="none" w:sz="0" w:space="0" w:color="auto"/>
        <w:left w:val="none" w:sz="0" w:space="0" w:color="auto"/>
        <w:bottom w:val="none" w:sz="0" w:space="0" w:color="auto"/>
        <w:right w:val="none" w:sz="0" w:space="0" w:color="auto"/>
      </w:divBdr>
      <w:divsChild>
        <w:div w:id="1252740755">
          <w:marLeft w:val="0"/>
          <w:marRight w:val="0"/>
          <w:marTop w:val="0"/>
          <w:marBottom w:val="0"/>
          <w:divBdr>
            <w:top w:val="none" w:sz="0" w:space="0" w:color="auto"/>
            <w:left w:val="none" w:sz="0" w:space="0" w:color="auto"/>
            <w:bottom w:val="none" w:sz="0" w:space="0" w:color="auto"/>
            <w:right w:val="none" w:sz="0" w:space="0" w:color="auto"/>
          </w:divBdr>
        </w:div>
      </w:divsChild>
    </w:div>
    <w:div w:id="1993564356">
      <w:bodyDiv w:val="1"/>
      <w:marLeft w:val="0"/>
      <w:marRight w:val="0"/>
      <w:marTop w:val="0"/>
      <w:marBottom w:val="0"/>
      <w:divBdr>
        <w:top w:val="none" w:sz="0" w:space="0" w:color="auto"/>
        <w:left w:val="none" w:sz="0" w:space="0" w:color="auto"/>
        <w:bottom w:val="none" w:sz="0" w:space="0" w:color="auto"/>
        <w:right w:val="none" w:sz="0" w:space="0" w:color="auto"/>
      </w:divBdr>
      <w:divsChild>
        <w:div w:id="2002661382">
          <w:marLeft w:val="0"/>
          <w:marRight w:val="0"/>
          <w:marTop w:val="0"/>
          <w:marBottom w:val="0"/>
          <w:divBdr>
            <w:top w:val="none" w:sz="0" w:space="0" w:color="auto"/>
            <w:left w:val="none" w:sz="0" w:space="0" w:color="auto"/>
            <w:bottom w:val="none" w:sz="0" w:space="0" w:color="auto"/>
            <w:right w:val="none" w:sz="0" w:space="0" w:color="auto"/>
          </w:divBdr>
        </w:div>
      </w:divsChild>
    </w:div>
    <w:div w:id="1994262018">
      <w:bodyDiv w:val="1"/>
      <w:marLeft w:val="0"/>
      <w:marRight w:val="0"/>
      <w:marTop w:val="0"/>
      <w:marBottom w:val="0"/>
      <w:divBdr>
        <w:top w:val="none" w:sz="0" w:space="0" w:color="auto"/>
        <w:left w:val="none" w:sz="0" w:space="0" w:color="auto"/>
        <w:bottom w:val="none" w:sz="0" w:space="0" w:color="auto"/>
        <w:right w:val="none" w:sz="0" w:space="0" w:color="auto"/>
      </w:divBdr>
    </w:div>
    <w:div w:id="21204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yperlink" Target="https://www.cleanenergyregulator.gov.au/NGER/About-the-National-Greenhouse-and-Energy-Reporting-scheme/global-warming-potentia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cceew.gov.au/sites/default/files/documents/national-greenhouse-account-factors-2023.pdf" TargetMode="Externa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legislation.gov.au/Details/C2021C005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bs.gov.au/statistics/industry/tourism-and-transport/survey-motor-vehicle-use-australia/latest-release" TargetMode="External"/><Relationship Id="rId5" Type="http://schemas.openxmlformats.org/officeDocument/2006/relationships/numbering" Target="numbering.xml"/><Relationship Id="rId15" Type="http://schemas.openxmlformats.org/officeDocument/2006/relationships/hyperlink" Target="https://consult.dcceew.gov.au/aus-guarantee-of-origin-scheme-consultation" TargetMode="External"/><Relationship Id="rId23" Type="http://schemas.openxmlformats.org/officeDocument/2006/relationships/hyperlink" Target="https://www.abs.gov.au/statistics/industry/tourism-and-transport/survey-motor-vehicle-use-australia/latest-release"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energy-rules.aemc.gov.au/ner/3/67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he.net/iphe-wp-methodology-doc-nov-2022" TargetMode="External"/><Relationship Id="rId22" Type="http://schemas.openxmlformats.org/officeDocument/2006/relationships/hyperlink" Target="https://www.bitre.gov.au/sites/default/files/documents/Bitre-yearbook-2021.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uslci.com.au/Datasets/EmissionFactors/AusLCI_1.42_EF_Published.xlsx" TargetMode="External"/><Relationship Id="rId2" Type="http://schemas.openxmlformats.org/officeDocument/2006/relationships/hyperlink" Target="https://www.legislation.gov.au/Details/F2022C00737" TargetMode="External"/><Relationship Id="rId1" Type="http://schemas.openxmlformats.org/officeDocument/2006/relationships/hyperlink" Target="https://www.dcceew.gov.au/sites/default/files/documents/national-greenhouse-account-factors-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83F020C0D66A408AC5E2F51A8D5F99" ma:contentTypeVersion="15" ma:contentTypeDescription="Create a new document." ma:contentTypeScope="" ma:versionID="bcefc38972abb820bd653d62a0321f3b">
  <xsd:schema xmlns:xsd="http://www.w3.org/2001/XMLSchema" xmlns:xs="http://www.w3.org/2001/XMLSchema" xmlns:p="http://schemas.microsoft.com/office/2006/metadata/properties" xmlns:ns2="a6e86820-684a-4c77-a2e2-d773523b5b34" xmlns:ns3="263e80a3-83eb-403e-a237-b3125a65bc88" xmlns:ns4="81c01dc6-2c49-4730-b140-874c95cac377" targetNamespace="http://schemas.microsoft.com/office/2006/metadata/properties" ma:root="true" ma:fieldsID="3f0b18605fd359b08c2a539764036618" ns2:_="" ns3:_="" ns4:_="">
    <xsd:import namespace="a6e86820-684a-4c77-a2e2-d773523b5b34"/>
    <xsd:import namespace="263e80a3-83eb-403e-a237-b3125a65bc88"/>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Authorship" ma:index="20" nillable="true" ma:displayName="Authorship" ma:format="Dropdown" ma:internalName="Authorship">
      <xsd:simpleType>
        <xsd:restriction base="dms:Choice">
          <xsd:enumeration value="Government"/>
          <xsd:enumeration value="Industry"/>
          <xsd:enumeration value="Academic"/>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45d8e6-bb2d-417b-a0ab-3512baac0c97}" ma:internalName="TaxCatchAll" ma:showField="CatchAllData" ma:web="a6e86820-684a-4c77-a2e2-d773523b5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63e80a3-83eb-403e-a237-b3125a65bc88">
      <Terms xmlns="http://schemas.microsoft.com/office/infopath/2007/PartnerControls"/>
    </lcf76f155ced4ddcb4097134ff3c332f>
    <Authorship xmlns="263e80a3-83eb-403e-a237-b3125a65bc88" xsi:nil="true"/>
  </documentManagement>
</p:properties>
</file>

<file path=customXml/itemProps1.xml><?xml version="1.0" encoding="utf-8"?>
<ds:datastoreItem xmlns:ds="http://schemas.openxmlformats.org/officeDocument/2006/customXml" ds:itemID="{A89B8573-E73D-4B6C-A7BB-3747B5F72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86820-684a-4c77-a2e2-d773523b5b34"/>
    <ds:schemaRef ds:uri="263e80a3-83eb-403e-a237-b3125a65bc88"/>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8DE12-D966-4AAF-BCE3-D4B97C2A40A2}">
  <ds:schemaRefs>
    <ds:schemaRef ds:uri="http://schemas.microsoft.com/sharepoint/v3/contenttype/forms"/>
  </ds:schemaRefs>
</ds:datastoreItem>
</file>

<file path=customXml/itemProps3.xml><?xml version="1.0" encoding="utf-8"?>
<ds:datastoreItem xmlns:ds="http://schemas.openxmlformats.org/officeDocument/2006/customXml" ds:itemID="{3FA50859-2F6D-4D63-B9F9-3B315DB4499D}">
  <ds:schemaRefs>
    <ds:schemaRef ds:uri="http://schemas.openxmlformats.org/officeDocument/2006/bibliography"/>
  </ds:schemaRefs>
</ds:datastoreItem>
</file>

<file path=customXml/itemProps4.xml><?xml version="1.0" encoding="utf-8"?>
<ds:datastoreItem xmlns:ds="http://schemas.openxmlformats.org/officeDocument/2006/customXml" ds:itemID="{56640C84-D2DC-4243-B117-581CD6708FE2}">
  <ds:schemaRefs>
    <ds:schemaRef ds:uri="http://schemas.microsoft.com/office/infopath/2007/PartnerControls"/>
    <ds:schemaRef ds:uri="a6e86820-684a-4c77-a2e2-d773523b5b34"/>
    <ds:schemaRef ds:uri="263e80a3-83eb-403e-a237-b3125a65bc88"/>
    <ds:schemaRef ds:uri="http://purl.org/dc/elements/1.1/"/>
    <ds:schemaRef ds:uri="http://purl.org/dc/dcmitype/"/>
    <ds:schemaRef ds:uri="http://schemas.openxmlformats.org/package/2006/metadata/core-properties"/>
    <ds:schemaRef ds:uri="http://schemas.microsoft.com/office/2006/documentManagement/types"/>
    <ds:schemaRef ds:uri="81c01dc6-2c49-4730-b140-874c95cac377"/>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20451</Words>
  <Characters>116571</Characters>
  <Application>Microsoft Office Word</Application>
  <DocSecurity>4</DocSecurity>
  <Lines>971</Lines>
  <Paragraphs>273</Paragraphs>
  <ScaleCrop>false</ScaleCrop>
  <Company>Department of Industry, Science, and Resources</Company>
  <LinksUpToDate>false</LinksUpToDate>
  <CharactersWithSpaces>136749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Coulahan-Davy, Aidan</dc:creator>
  <cp:keywords/>
  <dc:description/>
  <cp:lastModifiedBy>Thomson, Rebecca</cp:lastModifiedBy>
  <cp:revision>7326</cp:revision>
  <cp:lastPrinted>2023-08-03T07:56:00Z</cp:lastPrinted>
  <dcterms:created xsi:type="dcterms:W3CDTF">2023-03-09T02:20:00Z</dcterms:created>
  <dcterms:modified xsi:type="dcterms:W3CDTF">2023-09-20T16:53:00Z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0x0101009583F020C0D66A408AC5E2F51A8D5F99</vt:lpwstr>
  </property>
  <property fmtid="{D5CDD505-2E9C-101B-9397-08002B2CF9AE}" pid="3" name="MediaServiceImageTags">
    <vt:lpwstr/>
  </property>
</Properties>
</file>